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566.9291338582675"/>
        <w:jc w:val="center"/>
        <w:rPr/>
      </w:pPr>
      <w:r w:rsidDel="00000000" w:rsidR="00000000" w:rsidRPr="00000000">
        <w:rPr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Выбор задания</w:t>
      </w:r>
    </w:p>
    <w:p w:rsidR="00000000" w:rsidDel="00000000" w:rsidP="00000000" w:rsidRDefault="00000000" w:rsidRPr="00000000" w14:paraId="00000003">
      <w:pPr>
        <w:ind w:left="0" w:firstLine="566.9291338582675"/>
        <w:rPr/>
      </w:pPr>
      <w:r w:rsidDel="00000000" w:rsidR="00000000" w:rsidRPr="00000000">
        <w:rPr>
          <w:rtl w:val="0"/>
        </w:rPr>
        <w:t xml:space="preserve">Вариант 4. Предоставление доступа к местной телефонной сети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Общая характеристика процесса </w:t>
      </w:r>
    </w:p>
    <w:p w:rsidR="00000000" w:rsidDel="00000000" w:rsidP="00000000" w:rsidRDefault="00000000" w:rsidRPr="00000000" w14:paraId="00000005">
      <w:pPr>
        <w:ind w:left="0" w:firstLine="566.9291338582675"/>
        <w:rPr/>
      </w:pPr>
      <w:r w:rsidDel="00000000" w:rsidR="00000000" w:rsidRPr="00000000">
        <w:rPr>
          <w:rtl w:val="0"/>
        </w:rPr>
        <w:t xml:space="preserve">Организация: Управление Электросвязи.</w:t>
      </w:r>
    </w:p>
    <w:p w:rsidR="00000000" w:rsidDel="00000000" w:rsidP="00000000" w:rsidRDefault="00000000" w:rsidRPr="00000000" w14:paraId="00000006">
      <w:pPr>
        <w:ind w:left="0" w:firstLine="566.9291338582675"/>
        <w:rPr/>
      </w:pPr>
      <w:r w:rsidDel="00000000" w:rsidR="00000000" w:rsidRPr="00000000">
        <w:rPr>
          <w:rtl w:val="0"/>
        </w:rPr>
        <w:t xml:space="preserve">Тип процесса: Производственный процесс.</w:t>
      </w:r>
    </w:p>
    <w:p w:rsidR="00000000" w:rsidDel="00000000" w:rsidP="00000000" w:rsidRDefault="00000000" w:rsidRPr="00000000" w14:paraId="00000007">
      <w:pPr>
        <w:ind w:left="0" w:firstLine="566.9291338582675"/>
        <w:rPr/>
      </w:pPr>
      <w:r w:rsidDel="00000000" w:rsidR="00000000" w:rsidRPr="00000000">
        <w:rPr>
          <w:rtl w:val="0"/>
        </w:rPr>
        <w:t xml:space="preserve">Характер процесса: Основной процесс, связанный с предоставлением доступа к местной телефонной сети для клиентов.</w:t>
      </w:r>
    </w:p>
    <w:p w:rsidR="00000000" w:rsidDel="00000000" w:rsidP="00000000" w:rsidRDefault="00000000" w:rsidRPr="00000000" w14:paraId="00000008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Характеристика компонентов процесса</w:t>
      </w:r>
    </w:p>
    <w:p w:rsidR="00000000" w:rsidDel="00000000" w:rsidP="00000000" w:rsidRDefault="00000000" w:rsidRPr="00000000" w14:paraId="0000000A">
      <w:pPr>
        <w:ind w:left="0" w:firstLine="566.9291338582675"/>
        <w:rPr/>
      </w:pPr>
      <w:r w:rsidDel="00000000" w:rsidR="00000000" w:rsidRPr="00000000">
        <w:rPr>
          <w:rtl w:val="0"/>
        </w:rPr>
        <w:t xml:space="preserve">Результат процесса: предоставление новому абоненту доступа к местной телефонной сети.</w:t>
      </w:r>
    </w:p>
    <w:p w:rsidR="00000000" w:rsidDel="00000000" w:rsidP="00000000" w:rsidRDefault="00000000" w:rsidRPr="00000000" w14:paraId="0000000B">
      <w:pPr>
        <w:ind w:left="0" w:firstLine="566.9291338582675"/>
        <w:rPr/>
      </w:pPr>
      <w:r w:rsidDel="00000000" w:rsidR="00000000" w:rsidRPr="00000000">
        <w:rPr>
          <w:rtl w:val="0"/>
        </w:rPr>
        <w:t xml:space="preserve">Потребитель процесса: клиент, который подал заявление на установку телефона и хочет получить доступ к местной телефонной сети.</w:t>
      </w:r>
    </w:p>
    <w:p w:rsidR="00000000" w:rsidDel="00000000" w:rsidP="00000000" w:rsidRDefault="00000000" w:rsidRPr="00000000" w14:paraId="0000000C">
      <w:pPr>
        <w:ind w:left="0" w:firstLine="566.9291338582675"/>
        <w:rPr/>
      </w:pPr>
      <w:r w:rsidDel="00000000" w:rsidR="00000000" w:rsidRPr="00000000">
        <w:rPr>
          <w:rtl w:val="0"/>
        </w:rPr>
        <w:t xml:space="preserve">Инициирование процесса: подача клиентом заявления на установку телефона в абонентский отдел Управления Электросвязи.</w:t>
      </w:r>
    </w:p>
    <w:p w:rsidR="00000000" w:rsidDel="00000000" w:rsidP="00000000" w:rsidRDefault="00000000" w:rsidRPr="00000000" w14:paraId="0000000D">
      <w:pPr>
        <w:ind w:left="0" w:firstLine="566.9291338582675"/>
        <w:rPr/>
      </w:pPr>
      <w:r w:rsidDel="00000000" w:rsidR="00000000" w:rsidRPr="00000000">
        <w:rPr>
          <w:rtl w:val="0"/>
        </w:rPr>
        <w:t xml:space="preserve">Периодичность выполнения процесса: каждый раз, когда поступает новое заявление от клиента.</w:t>
      </w:r>
    </w:p>
    <w:p w:rsidR="00000000" w:rsidDel="00000000" w:rsidP="00000000" w:rsidRDefault="00000000" w:rsidRPr="00000000" w14:paraId="0000000E">
      <w:pPr>
        <w:ind w:left="0" w:firstLine="566.9291338582675"/>
        <w:rPr/>
      </w:pPr>
      <w:r w:rsidDel="00000000" w:rsidR="00000000" w:rsidRPr="00000000">
        <w:rPr>
          <w:rtl w:val="0"/>
        </w:rPr>
        <w:t xml:space="preserve">Входы процесса: заявление клиента на установку телефона, технические данные о задействованной линейной емкости телефонной сети и информация о необходимости оформления счета на оплату установки телефона.</w:t>
      </w:r>
    </w:p>
    <w:p w:rsidR="00000000" w:rsidDel="00000000" w:rsidP="00000000" w:rsidRDefault="00000000" w:rsidRPr="00000000" w14:paraId="0000000F">
      <w:pPr>
        <w:ind w:left="0" w:firstLine="566.9291338582675"/>
        <w:rPr/>
      </w:pPr>
      <w:r w:rsidDel="00000000" w:rsidR="00000000" w:rsidRPr="00000000">
        <w:rPr>
          <w:rtl w:val="0"/>
        </w:rPr>
        <w:t xml:space="preserve">Поставщик процесса: различные отделы внутри организации Управления Электросвязи: абонентский отдел, технический отдел, бухгалтерия, отдел КРОСС и линейно-кабельный участок.</w:t>
      </w:r>
    </w:p>
    <w:p w:rsidR="00000000" w:rsidDel="00000000" w:rsidP="00000000" w:rsidRDefault="00000000" w:rsidRPr="00000000" w14:paraId="00000010">
      <w:pPr>
        <w:ind w:left="0" w:firstLine="566.9291338582675"/>
        <w:rPr/>
      </w:pPr>
      <w:r w:rsidDel="00000000" w:rsidR="00000000" w:rsidRPr="00000000">
        <w:rPr>
          <w:rtl w:val="0"/>
        </w:rPr>
        <w:t xml:space="preserve">Ключевые показатели результативности процесса: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время выполнения процесса: время, затраченное на обработку заявления, анализ технической возможности, оформление счета, установку телефона и заключение договора.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новых абонентов в период: количество клиентов, которым был предоставлен доступ к местной телефонной сети за определенный период времени.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Качество обслуживания: уровень удовлетворенности клиентов процессом предоставления доступа к местной телефонной сети, отражающийся, например, в отсутствии жалоб и высокой оценке качества услуг.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процесса: затраты на выполнение процесса, включая расходы на регистрацию заявлений, анализ технической возможности, установку телефона, оформление счетов и заключение договоров.</w:t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Функциональная декомпозиция бизнес-процесса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Выделение структурных элементов функций</w:t>
      </w:r>
    </w:p>
    <w:p w:rsidR="00000000" w:rsidDel="00000000" w:rsidP="00000000" w:rsidRDefault="00000000" w:rsidRPr="00000000" w14:paraId="00000018">
      <w:pPr>
        <w:ind w:firstLine="566.92913385826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Выходы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Оборудование Инструменты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Управляющая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Подача заявления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Заявление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Заявление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Сотрудник абонентского отдела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Обеспечение для обработки заявлений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Инструкция по регистрации заявлений 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Анализ технической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Заявление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Заявление с положительным/отрицательным решением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Технический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оборудование для измерения и анализа технической возможности установки телефона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Планы и проекты телефонной сети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Постановка на очередь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Отрицательное решение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Данные клиента для очереди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Абонентский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Обеспечение для поддержания очереди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Базы данных с информацией о клиентах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Оформление счета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Положительное решение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Счет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Бухгалтерия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Финансовое оборудование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Финансовые формы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Оплата установки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Счет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Подтверждение оплаты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Клиент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Финансовое оборудование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Стандарты и нормативы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Выписка наряда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Подтверждение оплаты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Наряд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Абонентский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Обеспечение для обработки заявлений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Стандарты и нормативы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Выделение номера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Наряд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Номер абонента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Отдел КРОСС цеха ГТС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Линейно-кабельный участок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Регламент качества и безопасности предоставления услуг телефонной связи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Подключение к линии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Номер абонента, телефон, наряд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Подключение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Линейно-кабельный участок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Линейно-кабельный участок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Регламент качества и безопасности предоставления услуг телефонной связи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Заключение договора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Подключение, данные абонента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Договор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Абонентский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Обеспечение для обработки заявлений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Финансовые формы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Информирование о доступе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Договор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Информирование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Абонентский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Обеспечение для обработки заявлений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Инструкция по обработке заявлений</w:t>
            </w:r>
          </w:p>
        </w:tc>
      </w:tr>
      <w:tr>
        <w:trPr>
          <w:cantSplit w:val="0"/>
          <w:trHeight w:val="1373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Доступ к телефонной сети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Информирование клиента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Доступ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right="-22.3228346456693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Клиент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Обеспечение для обработки заявлений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right="-22.32283464566933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Инструкция по обработке заявлений</w:t>
            </w:r>
          </w:p>
        </w:tc>
      </w:tr>
    </w:tbl>
    <w:p w:rsidR="00000000" w:rsidDel="00000000" w:rsidP="00000000" w:rsidRDefault="00000000" w:rsidRPr="00000000" w14:paraId="00000061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Описание функциональной организационной структуры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Генеральный директор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Абонентский отдел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Зам. директора по абонентскому обслуживанию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Специалисты по приему заявлений от клиентов.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Специалисты по анализу технической возможности установки телефона.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Сотрудники, отвечающие за постановку клиентов на очередь.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Специалисты по оформлению договоров и информированию клиентов о доступе к телефонной сети.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Технический отдел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Зам. директора по техническому обслуживанию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Инженеры и техники, отвечающие за выполнение технического анализа возможности установки телефона.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Специалисты по выписке нарядов и подключению абонентов к линиям связи.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Специалисты, ответственные за выделение номеров абонентам и подключение их к линиям связи.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Специалисты, отвечающие за подключение абонентов к линиям связи и обслуживание сетевого оборудования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Бухгалтерия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Зам. директора по финансам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бухгалтер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Сотрудники, отвечающие за оформление счетов и контроль оплаты установки телефона.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566.9291338582675" w:hanging="570"/>
        <w:rPr>
          <w:u w:val="none"/>
        </w:rPr>
      </w:pPr>
      <w:r w:rsidDel="00000000" w:rsidR="00000000" w:rsidRPr="00000000">
        <w:rPr>
          <w:rtl w:val="0"/>
        </w:rPr>
        <w:t xml:space="preserve">Построение матрицы ответственности </w:t>
      </w:r>
    </w:p>
    <w:p w:rsidR="00000000" w:rsidDel="00000000" w:rsidP="00000000" w:rsidRDefault="00000000" w:rsidRPr="00000000" w14:paraId="00000078">
      <w:pPr>
        <w:ind w:left="0"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566.9291338582675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048.125"/>
        <w:gridCol w:w="1048.125"/>
        <w:gridCol w:w="1048.125"/>
        <w:gridCol w:w="1048.125"/>
        <w:gridCol w:w="1048.125"/>
        <w:gridCol w:w="1048.125"/>
        <w:gridCol w:w="1048.125"/>
        <w:gridCol w:w="1048.125"/>
        <w:tblGridChange w:id="0">
          <w:tblGrid>
            <w:gridCol w:w="1200"/>
            <w:gridCol w:w="1048.125"/>
            <w:gridCol w:w="1048.125"/>
            <w:gridCol w:w="1048.125"/>
            <w:gridCol w:w="1048.125"/>
            <w:gridCol w:w="1048.125"/>
            <w:gridCol w:w="1048.125"/>
            <w:gridCol w:w="1048.125"/>
            <w:gridCol w:w="1048.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Зам. директора по абонентскому обслуживанию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Зам. директора по техническому обслуживанию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Зам. директора по финансам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Главный бухгалтер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Специалист абонентского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Специалист технического отдела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Бухгалтеры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Прием заявлений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Технический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Постановка на очередь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Оформление договоров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Выделение номеров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Подключение абонентов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Обслуживание сетевого обор.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Оформление счетов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</w:t>
            </w:r>
          </w:p>
        </w:tc>
      </w:tr>
    </w:tbl>
    <w:p w:rsidR="00000000" w:rsidDel="00000000" w:rsidP="00000000" w:rsidRDefault="00000000" w:rsidRPr="00000000" w14:paraId="000000CB">
      <w:pPr>
        <w:ind w:left="0" w:firstLine="566.9291338582675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6.9291338582675" w:hanging="5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