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4xpz3anceon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Heading2"/>
        <w:spacing w:before="0" w:line="276" w:lineRule="auto"/>
        <w:jc w:val="center"/>
        <w:rPr>
          <w:i w:val="1"/>
        </w:rPr>
      </w:pPr>
      <w:bookmarkStart w:colFirst="0" w:colLast="0" w:name="_r4cibll4cyx4" w:id="1"/>
      <w:bookmarkEnd w:id="1"/>
      <w:r w:rsidDel="00000000" w:rsidR="00000000" w:rsidRPr="00000000">
        <w:rPr>
          <w:i w:val="1"/>
          <w:rtl w:val="0"/>
        </w:rPr>
        <w:t xml:space="preserve">Выполнил: Шардт Максим Александрович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Вызвать окно Модели: команда строки меню Окна  услуга. Показать окно  услуга Модели.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6413" cy="38136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413" cy="381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Вызвать рабочее пространство Классификаторы: команда строки меню Окна  услуга Показать окно  услуга Классификаторы.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7838" cy="38058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838" cy="380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Вызвать окно Набор атрибутов: команда строки меню Окна услуга Показать окно  услуга Набор атрибутов.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7838" cy="37931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838" cy="3793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Вызвать окно Редактор атрибутов: команда строки меню Окна услуга Показать окно  услуга Редактор атрибутов.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7838" cy="37931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838" cy="3793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 установить, чтобы одновременно в рабочей области находились окна Набор атрибутов и Редактор атрибутов.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3629" cy="379766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629" cy="37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 установить, чтобы одновременно в рабочей области находились окна Модели и Диаграммы.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7838" cy="380115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7838" cy="38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Самостоятельно установить, чтобы одновременно в рабочей области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находились окна Классификаторы и Диаграммы.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3629" cy="379766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629" cy="37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внешний вид окна программы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8788" cy="34511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788" cy="345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