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 В.)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(Шардт М.А.)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134553" cy="213455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213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4553" cy="213455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213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4553" cy="213455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213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142173" cy="214217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173" cy="214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расписания преподавателей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142172" cy="214217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172" cy="214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4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360"/>
        <w:tab w:val="center" w:leader="none" w:pos="4677"/>
      </w:tabs>
      <w:spacing w:after="0" w:before="48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e">
    <w:name w:val="Unresolved Mention"/>
    <w:basedOn w:val="a0"/>
    <w:uiPriority w:val="99"/>
    <w:semiHidden w:val="1"/>
    <w:unhideWhenUsed w:val="1"/>
    <w:rsid w:val="003A2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s://lib.herzen.spb.ru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i/bHPfXyufLTK0o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lib.herzen.spb.ru/p/newebs" TargetMode="External"/><Relationship Id="rId17" Type="http://schemas.openxmlformats.org/officeDocument/2006/relationships/image" Target="media/image3.png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mrZ9Mf0ASIv4ySNTKglNNIcfg==">CgMxLjA4AHIhMTJtSTJQVWVSbzdxaUhqemFKODhMbWxNMklMU09EVGZj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Тусик</dc:creator>
</cp:coreProperties>
</file>