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ариантная работа №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 документов: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 программы (функциональность, назначение).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Руководство пользователя (если есть).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Исходный код (в объёме, достаточном для идентификации).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Информация об авторе(ах) и правообладателе.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Заявление о регистрации.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правообладателя: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Физическое или юридическое лицо.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Подтверждение авторских прав (договоры, акты передачи прав и т.д.).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способа правовой охраны: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Авторское право (по факту создания).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Регистрация в Роспатенте (или другой уполномоченной организации).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Добровольная депонирование кода (например, в специализированных организациях или нотариусом).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Подача заявки в уполномоченный орган: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России — Федеральная служба по интеллектуальной собственности (Роспатент).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Онлайн или через МФЦ/почту.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Уплата государственной пошлины: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Размер зависит от категории заявителя (физическое/юридическое лицо) и типа ПО.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Экспертиза заявки (по необходимости):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на соответствие формальным требованиям.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уточнений или дополнений по запросу ведомства.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свидетельства о регистрации: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Документ, подтверждающий регистрацию программы как объекта авторского права.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и защита документов: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Сохранять все исходные документы, подтверждающие права.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При необходимости — регистрация в международных базах (например, WIPO).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