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1. Основные понятия и сущность информационных ресурсов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массовой информацией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пон</w:t>
      </w:r>
      <w:r w:rsidDel="00000000" w:rsidR="00000000" w:rsidRPr="00000000">
        <w:rPr>
          <w:rtl w:val="0"/>
        </w:rPr>
        <w:t xml:space="preserve">имаются предназначенные для неограниченного круга лиц печатные, аудио-, аудиовизуальные и иные сообщения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материалы;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средством массовой информации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понимается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средств массовой информации: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периодическим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печатным изданием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понимается газета, журнал, альманах, бюллетень, иное издание, имеющее постоянное наименование (название), текущий номер и выходящее в свет не реже одного раза в год;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радио-, теле-, видео-, кинохроникальной программой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понимается совокупность периодических аудио-, аудиовизуальных сообщений и материалов (передач), имеющая постоянное наименование (название) и выходящая в свет (в эфир) не реже одного раза в год;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