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Глоссарий терминов и понятий по лекции 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zhv8speo34l" w:id="1"/>
      <w:bookmarkEnd w:id="1"/>
      <w:r w:rsidDel="00000000" w:rsidR="00000000" w:rsidRPr="00000000">
        <w:rPr>
          <w:rtl w:val="0"/>
        </w:rPr>
        <w:t xml:space="preserve">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Наука – область человеческой деятельности, направленная на выработку и систематизацию объективных знаний о действительности. 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Современная наука – разветвленная совокупность научных отраслей, включающая отдельные области знаний и научные дисциплины.  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/>
      </w:pPr>
      <w:bookmarkStart w:colFirst="0" w:colLast="0" w:name="_urpafovl151k" w:id="2"/>
      <w:bookmarkEnd w:id="2"/>
      <w:r w:rsidDel="00000000" w:rsidR="00000000" w:rsidRPr="00000000">
        <w:rPr>
          <w:rtl w:val="0"/>
        </w:rPr>
        <w:t xml:space="preserve">Признаки науки 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1. Система знаний – о законах функционирования и развития объектов. 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2. Объективное знание – эмпирически проверяемое и подтверждаемое. 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3. Преемственность – опора на исследования прошлых поколений. 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4. Доказательность – подтверждение решений конкретных задач. 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5. Прогностичность – предвидение будущего развития науки. 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6. Воспроизводимость – возможность повторения результатов.  </w:t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/>
      </w:pPr>
      <w:bookmarkStart w:colFirst="0" w:colLast="0" w:name="_mva3ua6aluv7" w:id="3"/>
      <w:bookmarkEnd w:id="3"/>
      <w:r w:rsidDel="00000000" w:rsidR="00000000" w:rsidRPr="00000000">
        <w:rPr>
          <w:rtl w:val="0"/>
        </w:rPr>
        <w:t xml:space="preserve">Функции науки 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Изучение, описание, объяснение и прогнозирование действительности. 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Важнейшая составляющая духовной культуры.  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/>
      </w:pPr>
      <w:bookmarkStart w:colFirst="0" w:colLast="0" w:name="_qq0ys6if50r9" w:id="4"/>
      <w:bookmarkEnd w:id="4"/>
      <w:r w:rsidDel="00000000" w:rsidR="00000000" w:rsidRPr="00000000">
        <w:rPr>
          <w:rtl w:val="0"/>
        </w:rPr>
        <w:t xml:space="preserve">Классификация научных исследований  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1. По целевому назначению: 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Фундаментальные исследования – направлены на получение новых знаний о закономерностях природы, общества и мышления. 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Прикладные исследования – направлены на применение новых знаний для решения практических задач.  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Поисковые исследования – ориентированы на получение знаний для последующего практического применения. 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2. По длительности: 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Долгосрочные, краткосрочные, экспрессисследования. 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3. По источникам финансирования:  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Бюджетные, хоздоговорные, инициативные.  </w:t>
      </w:r>
    </w:p>
    <w:p w:rsidR="00000000" w:rsidDel="00000000" w:rsidP="00000000" w:rsidRDefault="00000000" w:rsidRPr="00000000" w14:paraId="00000019">
      <w:pPr>
        <w:pStyle w:val="Heading2"/>
        <w:spacing w:line="360" w:lineRule="auto"/>
        <w:rPr/>
      </w:pPr>
      <w:bookmarkStart w:colFirst="0" w:colLast="0" w:name="_wbjnstjcnsat" w:id="5"/>
      <w:bookmarkEnd w:id="5"/>
      <w:r w:rsidDel="00000000" w:rsidR="00000000" w:rsidRPr="00000000">
        <w:rPr>
          <w:rtl w:val="0"/>
        </w:rPr>
        <w:t xml:space="preserve">Научная деятельность 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Деятельность, направленная на получение и применение новых знаний. 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Субъекты: 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Научные работники (исследователи). 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Научные организации (НИИ, университеты).  </w:t>
      </w:r>
    </w:p>
    <w:p w:rsidR="00000000" w:rsidDel="00000000" w:rsidP="00000000" w:rsidRDefault="00000000" w:rsidRPr="00000000" w14:paraId="0000001E">
      <w:pPr>
        <w:pStyle w:val="Heading2"/>
        <w:spacing w:line="360" w:lineRule="auto"/>
        <w:rPr/>
      </w:pPr>
      <w:bookmarkStart w:colFirst="0" w:colLast="0" w:name="_1pz8gc3xczvj" w:id="6"/>
      <w:bookmarkEnd w:id="6"/>
      <w:r w:rsidDel="00000000" w:rsidR="00000000" w:rsidRPr="00000000">
        <w:rPr>
          <w:rtl w:val="0"/>
        </w:rPr>
        <w:t xml:space="preserve">Научные организации  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Научноисследовательский институт (НИИ) – учреждение, созданное для организации научных исследований и разработок.  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Государственные научные центры РФ – организации с уникальным оборудованием и международным признанием.  </w:t>
      </w:r>
    </w:p>
    <w:p w:rsidR="00000000" w:rsidDel="00000000" w:rsidP="00000000" w:rsidRDefault="00000000" w:rsidRPr="00000000" w14:paraId="00000021">
      <w:pPr>
        <w:pStyle w:val="Heading2"/>
        <w:spacing w:line="360" w:lineRule="auto"/>
        <w:rPr/>
      </w:pPr>
      <w:bookmarkStart w:colFirst="0" w:colLast="0" w:name="_i6o9a3pmxz9p" w:id="7"/>
      <w:bookmarkEnd w:id="7"/>
      <w:r w:rsidDel="00000000" w:rsidR="00000000" w:rsidRPr="00000000">
        <w:rPr>
          <w:rtl w:val="0"/>
        </w:rPr>
        <w:t xml:space="preserve">История научных институтов  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От древних обсерваторий (Багдадская, Самарканская) до современных НИИ (Институт Пастера, Общество кайзера Вильгельма).  </w:t>
      </w:r>
    </w:p>
    <w:p w:rsidR="00000000" w:rsidDel="00000000" w:rsidP="00000000" w:rsidRDefault="00000000" w:rsidRPr="00000000" w14:paraId="00000023">
      <w:pPr>
        <w:pStyle w:val="Heading2"/>
        <w:spacing w:line="360" w:lineRule="auto"/>
        <w:rPr/>
      </w:pPr>
      <w:bookmarkStart w:colFirst="0" w:colLast="0" w:name="_u0tr8ws7jlsh" w:id="8"/>
      <w:bookmarkEnd w:id="8"/>
      <w:r w:rsidDel="00000000" w:rsidR="00000000" w:rsidRPr="00000000">
        <w:rPr>
          <w:rtl w:val="0"/>
        </w:rPr>
        <w:t xml:space="preserve">Университеты в России  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Федеральные университеты – вузы, ориентированные на развитие регионов (например, Сибирский федеральный университет).  </w:t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/>
      </w:pPr>
      <w:bookmarkStart w:colFirst="0" w:colLast="0" w:name="_u0f0amfwk1sh" w:id="9"/>
      <w:bookmarkEnd w:id="9"/>
      <w:r w:rsidDel="00000000" w:rsidR="00000000" w:rsidRPr="00000000">
        <w:rPr>
          <w:rtl w:val="0"/>
        </w:rPr>
        <w:t xml:space="preserve">Научные школы  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Коллективы ученых, объединенные общей темой исследований и системой взглядов.  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Пример: ведущие научные школы РФ, формирующиеся вокруг лидеров-ученых.  </w:t>
      </w:r>
    </w:p>
    <w:p w:rsidR="00000000" w:rsidDel="00000000" w:rsidP="00000000" w:rsidRDefault="00000000" w:rsidRPr="00000000" w14:paraId="00000028">
      <w:pPr>
        <w:pStyle w:val="Heading2"/>
        <w:spacing w:line="360" w:lineRule="auto"/>
        <w:rPr/>
      </w:pPr>
      <w:bookmarkStart w:colFirst="0" w:colLast="0" w:name="_dm2wj5yfn2sd" w:id="10"/>
      <w:bookmarkEnd w:id="10"/>
      <w:r w:rsidDel="00000000" w:rsidR="00000000" w:rsidRPr="00000000">
        <w:rPr>
          <w:rtl w:val="0"/>
        </w:rPr>
        <w:t xml:space="preserve">Нормативно-правовая база науки в РФ  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ФЗ «О науке и государственной научно-технической политике» – основной закон, регулирующий научную деятельность.  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Приоритетные направления развития науки:  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Безопасность, наносистемы, информационные технологии, науки о жизни, энергоэффективность и др. 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Критические технологии – междисциплинарные решения, способствующие развитию экономики.  </w:t>
      </w:r>
    </w:p>
    <w:p w:rsidR="00000000" w:rsidDel="00000000" w:rsidP="00000000" w:rsidRDefault="00000000" w:rsidRPr="00000000" w14:paraId="0000002D">
      <w:pPr>
        <w:pStyle w:val="Heading2"/>
        <w:spacing w:line="360" w:lineRule="auto"/>
        <w:rPr/>
      </w:pPr>
      <w:bookmarkStart w:colFirst="0" w:colLast="0" w:name="_tv0p6yfduquh" w:id="11"/>
      <w:bookmarkEnd w:id="11"/>
      <w:r w:rsidDel="00000000" w:rsidR="00000000" w:rsidRPr="00000000">
        <w:rPr>
          <w:rtl w:val="0"/>
        </w:rPr>
        <w:t xml:space="preserve">Ключевые термины  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Пранаука – ранние формы познания (астрология, алхимия). 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Научная революция – переход к классической (Ньютон) и неклассической науке (Эйнштейн, квантовая механика).  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Институциональный контекст науки – наука как общественный институт.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