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1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«Показатели вариации»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6.0" w:type="dxa"/>
        <w:jc w:val="left"/>
        <w:tblInd w:w="100.0" w:type="dxa"/>
        <w:tblLayout w:type="fixed"/>
        <w:tblLook w:val="0600"/>
      </w:tblPr>
      <w:tblGrid>
        <w:gridCol w:w="4593"/>
        <w:gridCol w:w="5283"/>
        <w:tblGridChange w:id="0">
          <w:tblGrid>
            <w:gridCol w:w="4593"/>
            <w:gridCol w:w="5283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курс: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 группа:ИВТ-1.1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Власова Елена Зотиковна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jc w:val="center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Вычислить теоретические частоты вариационного ряда по данным таблицы.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значение </w:t>
      </w:r>
    </w:p>
    <w:p w:rsidR="00000000" w:rsidDel="00000000" w:rsidP="00000000" w:rsidRDefault="00000000" w:rsidRPr="00000000" w14:paraId="0000002A">
      <w:pPr>
        <w:jc w:val="center"/>
        <w:rPr/>
      </w:pPr>
      <w:bookmarkStart w:colFirst="0" w:colLast="0" w:name="_30j0zll" w:id="0"/>
      <w:bookmarkEnd w:id="0"/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 = 97,22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квадратичное отклонение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/>
      </w:pPr>
      <m:oMath>
        <m:r>
          <m:t>σ</m:t>
        </m:r>
        <m:r>
          <w:rPr/>
          <m:t xml:space="preserve"> = 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nary>
                  <m:naryPr>
                    <m:chr m:val="∑"/>
                    <m:ctrlPr>
                      <w:rPr/>
                    </m:ctrlPr>
                  </m:naryPr>
                  <m:sub/>
                  <m:sup/>
                </m:nary>
                <m:d>
                  <m:dPr>
                    <m:begChr m:val="|"/>
                    <m:endChr m:val="|"/>
                    <m:ctrlPr>
                      <w:rPr/>
                    </m:ctrlPr>
                  </m:d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  <m:r>
                      <w:rPr/>
                      <m:t xml:space="preserve"> - x</m:t>
                    </m:r>
                    <m:bar>
                      <m:barPr>
                        <m:pos/>
                        <m:ctrlPr>
                          <w:rPr/>
                        </m:ctrlPr>
                      </m:barPr>
                      <m:e/>
                    </m:bar>
                  </m:e>
                </m:d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l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/>
                    </m:ctrlPr>
                  </m:naryPr>
                  <m:sub/>
                  <m:sup/>
                </m:nary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L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den>
            </m:f>
          </m:e>
        </m:rad>
        <m:r>
          <w:rPr/>
          <m:t xml:space="preserve"> = 29,647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134" w:top="1134" w:left="1700.7874015748032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line="240" w:lineRule="auto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Санкт-Петербург</w:t>
    </w:r>
  </w:p>
  <w:p w:rsidR="00000000" w:rsidDel="00000000" w:rsidP="00000000" w:rsidRDefault="00000000" w:rsidRPr="00000000" w14:paraId="00000032">
    <w:pPr>
      <w:spacing w:line="240" w:lineRule="auto"/>
      <w:jc w:val="center"/>
      <w:rPr/>
    </w:pPr>
    <w:r w:rsidDel="00000000" w:rsidR="00000000" w:rsidRPr="00000000">
      <w:rPr>
        <w:sz w:val="28"/>
        <w:szCs w:val="2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