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rPr/>
      </w:pPr>
      <w:r w:rsidDel="00000000" w:rsidR="00000000" w:rsidRPr="00000000">
        <w:rPr>
          <w:rtl w:val="0"/>
        </w:rPr>
        <w:t xml:space="preserve">Отчет по использованию платформы Proaction.pro для оценки персонала</w:t>
      </w:r>
    </w:p>
    <w:p w:rsidR="00000000" w:rsidDel="00000000" w:rsidP="00000000" w:rsidRDefault="00000000" w:rsidRPr="00000000" w14:paraId="00000002">
      <w:pPr>
        <w:pStyle w:val="Heading2"/>
        <w:spacing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  <w:t xml:space="preserve">Состав команды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Балаев Жамал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Иванов Никита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Клементьев Алексей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Лотуга Данила (демо-доступ)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Шардт Максим</w:t>
      </w:r>
    </w:p>
    <w:p w:rsidR="00000000" w:rsidDel="00000000" w:rsidP="00000000" w:rsidRDefault="00000000" w:rsidRPr="00000000" w14:paraId="00000008">
      <w:pPr>
        <w:pStyle w:val="Heading2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Назначение и функционал платформы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Платформа Proaction.pro — это онлайн-инструмент для оценки персонала и кандидатов. Она используется HR-специалистами и руководителями для анализа мотивации, продуктивности и других ключевых компетенций сотрудников.</w:t>
        <w:br w:type="textWrapping"/>
        <w:br w:type="textWrapping"/>
        <w:t xml:space="preserve">Основной функционал:</w:t>
        <w:br w:type="textWrapping"/>
        <w:t xml:space="preserve">- Назначение онлайн-тестов сотрудникам и кандидатам;</w:t>
        <w:br w:type="textWrapping"/>
        <w:t xml:space="preserve">- Формирование отчетов по результатам тестов;</w:t>
        <w:br w:type="textWrapping"/>
        <w:t xml:space="preserve">- Выгрузка данных;</w:t>
        <w:br w:type="textWrapping"/>
        <w:t xml:space="preserve">- Коммуникация с сотрудниками по email;</w:t>
        <w:br w:type="textWrapping"/>
        <w:t xml:space="preserve">- Подбор инструментов оценки по должностям и компетенциям.</w:t>
      </w:r>
    </w:p>
    <w:p w:rsidR="00000000" w:rsidDel="00000000" w:rsidP="00000000" w:rsidRDefault="00000000" w:rsidRPr="00000000" w14:paraId="0000000A">
      <w:pPr>
        <w:pStyle w:val="Heading2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Интерфейс и описание функционала</w:t>
      </w:r>
    </w:p>
    <w:p w:rsidR="00000000" w:rsidDel="00000000" w:rsidP="00000000" w:rsidRDefault="00000000" w:rsidRPr="00000000" w14:paraId="0000000B">
      <w:pPr>
        <w:pStyle w:val="Heading3"/>
        <w:spacing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  <w:t xml:space="preserve">2.1 Назначение тестов кандидатам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5029200" cy="252222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22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 Коммуникация с кандидатом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5029200" cy="3723005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23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 Оценка сотрудников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5029200" cy="5716270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10522" l="0" r="0" t="2500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71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 Последние результаты тестирования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5029200" cy="2522220"/>
            <wp:effectExtent b="0" l="0" r="0" t="0"/>
            <wp:docPr id="1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22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2.5 Список сотрудников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5029200" cy="2639060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39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Методы оценки персонала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Применяемые методы:</w:t>
        <w:br w:type="textWrapping"/>
        <w:t xml:space="preserve">- Психометрические опросники: для выявления уровня мотивации, эмоционального состояния, лидерских качеств и стрессоустойчивости.</w:t>
        <w:br w:type="textWrapping"/>
        <w:t xml:space="preserve">- Методики оценки компетенций: на основе универсальной модели компетенций.</w:t>
        <w:br w:type="textWrapping"/>
        <w:t xml:space="preserve">- Анализ мотивационных факторов: с помощью тестов, таких как «Мотивация к работе», оцениваются внутренние и внешние стимулы.</w:t>
        <w:br w:type="textWrapping"/>
        <w:br w:type="textWrapping"/>
        <w:t xml:space="preserve">Примеры тестов:</w:t>
        <w:br w:type="textWrapping"/>
        <w:t xml:space="preserve">- Мотивация к работе (15 вопросов, 7 минут);</w:t>
        <w:br w:type="textWrapping"/>
        <w:t xml:space="preserve">- Продуктивность;</w:t>
        <w:br w:type="textWrapping"/>
        <w:t xml:space="preserve">- Эмоциональное выгорание сотрудников;</w:t>
        <w:br w:type="textWrapping"/>
        <w:t xml:space="preserve">- Потенциал к развитию;</w:t>
        <w:br w:type="textWrapping"/>
        <w:t xml:space="preserve">- Лидерские качества.</w:t>
      </w:r>
    </w:p>
    <w:p w:rsidR="00000000" w:rsidDel="00000000" w:rsidP="00000000" w:rsidRDefault="00000000" w:rsidRPr="00000000" w14:paraId="00000017">
      <w:pPr>
        <w:pStyle w:val="Heading2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Пример результата оценки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5029200" cy="4080510"/>
            <wp:effectExtent b="0" l="0" r="0" t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80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Ключевые мотивационные факторы:</w:t>
        <w:br w:type="textWrapping"/>
        <w:t xml:space="preserve">- Гедонистический мотив (36%) — стремление избегать рутины, получать удовольствие от процесса;</w:t>
        <w:br w:type="textWrapping"/>
        <w:t xml:space="preserve">- Профессиональный мотив (31%) — интерес к карьерному росту и профессиональному развитию;</w:t>
        <w:br w:type="textWrapping"/>
        <w:t xml:space="preserve">- Низкий уровень бонусной и социальной мотивации.</w:t>
        <w:br w:type="textWrapping"/>
        <w:br w:type="textWrapping"/>
        <w:t xml:space="preserve">Рекомендации:</w:t>
        <w:br w:type="textWrapping"/>
        <w:t xml:space="preserve">- Предоставление гибкого графика;</w:t>
        <w:br w:type="textWrapping"/>
        <w:t xml:space="preserve">- Устранение рутинных задач;</w:t>
        <w:br w:type="textWrapping"/>
        <w:t xml:space="preserve">- Нежелательна работа с высоким уровнем стресса и дедлайнами.</w:t>
      </w:r>
    </w:p>
    <w:p w:rsidR="00000000" w:rsidDel="00000000" w:rsidP="00000000" w:rsidRDefault="00000000" w:rsidRPr="00000000" w14:paraId="0000001A">
      <w:pPr>
        <w:pStyle w:val="Heading2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Итоги</w:t>
      </w:r>
    </w:p>
    <w:p w:rsidR="00000000" w:rsidDel="00000000" w:rsidP="00000000" w:rsidRDefault="00000000" w:rsidRPr="00000000" w14:paraId="0000001B">
      <w:pPr>
        <w:widowControl w:val="1"/>
        <w:spacing w:after="200" w:before="0" w:line="360" w:lineRule="auto"/>
        <w:jc w:val="left"/>
        <w:rPr/>
      </w:pPr>
      <w:r w:rsidDel="00000000" w:rsidR="00000000" w:rsidRPr="00000000">
        <w:rPr>
          <w:rtl w:val="0"/>
        </w:rPr>
        <w:t xml:space="preserve">Платформа Proaction.pro предоставляет:</w:t>
        <w:br w:type="textWrapping"/>
        <w:t xml:space="preserve">- Интуитивный интерфейс;</w:t>
        <w:br w:type="textWrapping"/>
        <w:t xml:space="preserve">- Широкий выбор тестов;</w:t>
        <w:br w:type="textWrapping"/>
        <w:t xml:space="preserve">- Автоматизированную рассылку и отслеживание;</w:t>
        <w:br w:type="textWrapping"/>
        <w:t xml:space="preserve">- Подробную аналитику результатов.</w:t>
        <w:br w:type="textWrapping"/>
        <w:br w:type="textWrapping"/>
        <w:t xml:space="preserve">Рекомендуется для использования в HR-отделах, центрах оценки и руководителями команд.</w:t>
      </w:r>
    </w:p>
    <w:sectPr>
      <w:pgSz w:h="15840" w:w="12240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jc w:val="center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pPr>
      <w:widowControl w:val="1"/>
      <w:bidi w:val="0"/>
      <w:spacing w:after="200" w:before="0" w:line="276" w:lineRule="auto"/>
      <w:jc w:val="left"/>
    </w:pPr>
    <w:rPr>
      <w:rFonts w:ascii="Times New Roman" w:cs="" w:eastAsia="ＭＳ 明朝" w:hAnsi="Times New Roman" w:cstheme="minorBidi" w:eastAsiaTheme="minorEastAsia"/>
      <w:color w:val="auto"/>
      <w:kern w:val="0"/>
      <w:sz w:val="24"/>
      <w:szCs w:val="22"/>
      <w:lang w:bidi="ar-SA" w:eastAsia="en-US"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="Calibri" w:cs="" w:eastAsia="ＭＳ ゴシック" w:hAnsi="Calibri"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="Calibri" w:cs="" w:eastAsia="ＭＳ ゴシック" w:hAnsi="Calibri"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="Calibri" w:cs="" w:eastAsia="ＭＳ ゴシック" w:hAnsi="Calibri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 w:val="1"/>
    <w:rsid w:val="00E618BF"/>
    <w:rPr/>
  </w:style>
  <w:style w:type="character" w:styleId="FooterChar" w:customStyle="1">
    <w:name w:val="Footer Char"/>
    <w:basedOn w:val="DefaultParagraphFont"/>
    <w:uiPriority w:val="99"/>
    <w:qFormat w:val="1"/>
    <w:rsid w:val="00E618BF"/>
    <w:rPr/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ing1Char" w:customStyle="1">
    <w:name w:val="Heading 1 Char"/>
    <w:basedOn w:val="DefaultParagraphFont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uiPriority w:val="10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17365d" w:themeColor="text2" w:themeShade="0000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 w:val="1"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 w:val="1"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 w:val="1"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 w:val="1"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 w:val="1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character" w:styleId="IntenseQuoteChar" w:customStyle="1">
    <w:name w:val="Intense Quote Char"/>
    <w:basedOn w:val="DefaultParagraphFont"/>
    <w:link w:val="IntenseQuote"/>
    <w:uiPriority w:val="30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Style5">
    <w:name w:val="Заголовок"/>
    <w:basedOn w:val="Normal"/>
    <w:next w:val="BodyText"/>
    <w:qFormat w:val="1"/>
    <w:pPr>
      <w:keepNext w:val="1"/>
      <w:spacing w:after="120" w:before="240"/>
    </w:pPr>
    <w:rPr>
      <w:rFonts w:ascii="Times New Roman" w:cs="Noto Sans Devanagari" w:eastAsia="Noto Sans CJK SC" w:hAnsi="Times New Roman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 w:before="0"/>
    </w:pPr>
    <w:rPr/>
  </w:style>
  <w:style w:type="paragraph" w:styleId="List">
    <w:name w:val="List"/>
    <w:basedOn w:val="Normal"/>
    <w:uiPriority w:val="99"/>
    <w:unhideWhenUsed w:val="1"/>
    <w:rsid w:val="00AA1D8D"/>
    <w:pPr>
      <w:spacing w:after="200" w:before="0"/>
      <w:ind w:left="360" w:hanging="360"/>
      <w:contextualSpacing w:val="1"/>
    </w:pPr>
    <w:rPr/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Style6">
    <w:name w:val="Указатель"/>
    <w:basedOn w:val="Normal"/>
    <w:qFormat w:val="1"/>
    <w:pPr>
      <w:suppressLineNumbers w:val="1"/>
    </w:pPr>
    <w:rPr>
      <w:rFonts w:ascii="Times New Roman" w:cs="Noto Sans Devanagari" w:hAnsi="Times New Roma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NoSpacing">
    <w:name w:val="No Spacing"/>
    <w:uiPriority w:val="1"/>
    <w:qFormat w:val="1"/>
    <w:rsid w:val="00FC693F"/>
    <w:pPr>
      <w:widowControl w:val="1"/>
      <w:bidi w:val="0"/>
      <w:spacing w:after="0" w:before="0" w:line="240" w:lineRule="auto"/>
      <w:jc w:val="left"/>
    </w:pPr>
    <w:rPr>
      <w:rFonts w:ascii="Cambria" w:cs="" w:eastAsia="ＭＳ 明朝" w:hAnsi="Cambria" w:asciiTheme="minorHAnsi" w:cstheme="minorBidi" w:eastAsiaTheme="minorEastAsia" w:hAnsiTheme="minorHAnsi"/>
      <w:color w:val="auto"/>
      <w:kern w:val="0"/>
      <w:sz w:val="22"/>
      <w:szCs w:val="22"/>
      <w:lang w:bidi="ar-SA" w:eastAsia="en-US"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before="0" w:line="240" w:lineRule="auto"/>
      <w:contextualSpacing w:val="1"/>
    </w:pPr>
    <w:rPr>
      <w:rFonts w:ascii="Calibri" w:cs="" w:eastAsia="ＭＳ ゴシック" w:hAnsi="Calibri" w:asciiTheme="majorHAnsi" w:cstheme="majorBidi" w:eastAsiaTheme="majorEastAsia" w:hAnsiTheme="majorHAnsi"/>
      <w:color w:val="17365d" w:themeColor="text2" w:themeShade="0000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spacing w:after="200" w:before="0"/>
      <w:ind w:left="720"/>
      <w:contextualSpacing w:val="1"/>
    </w:pPr>
    <w:rPr/>
  </w:style>
  <w:style w:type="paragraph" w:styleId="BodyText2">
    <w:name w:val="Body Text 2"/>
    <w:basedOn w:val="Normal"/>
    <w:link w:val="BodyText2Char"/>
    <w:uiPriority w:val="99"/>
    <w:unhideWhenUsed w:val="1"/>
    <w:qFormat w:val="1"/>
    <w:rsid w:val="00AA1D8D"/>
    <w:pPr>
      <w:spacing w:after="120" w:before="0" w:line="480" w:lineRule="auto"/>
    </w:pPr>
    <w:rPr/>
  </w:style>
  <w:style w:type="paragraph" w:styleId="BodyText3">
    <w:name w:val="Body Text 3"/>
    <w:basedOn w:val="Normal"/>
    <w:link w:val="BodyText3Char"/>
    <w:uiPriority w:val="99"/>
    <w:unhideWhenUsed w:val="1"/>
    <w:qFormat w:val="1"/>
    <w:rsid w:val="00AA1D8D"/>
    <w:pPr>
      <w:spacing w:after="120" w:before="0"/>
    </w:pPr>
    <w:rPr>
      <w:sz w:val="16"/>
      <w:szCs w:val="16"/>
    </w:rPr>
  </w:style>
  <w:style w:type="paragraph" w:styleId="List2">
    <w:name w:val="List 2"/>
    <w:basedOn w:val="Normal"/>
    <w:uiPriority w:val="99"/>
    <w:unhideWhenUsed w:val="1"/>
    <w:qFormat w:val="1"/>
    <w:rsid w:val="00326F90"/>
    <w:pPr>
      <w:spacing w:after="200" w:before="0"/>
      <w:ind w:left="720" w:hanging="360"/>
      <w:contextualSpacing w:val="1"/>
    </w:pPr>
    <w:rPr/>
  </w:style>
  <w:style w:type="paragraph" w:styleId="List3">
    <w:name w:val="List 3"/>
    <w:basedOn w:val="Normal"/>
    <w:uiPriority w:val="99"/>
    <w:unhideWhenUsed w:val="1"/>
    <w:qFormat w:val="1"/>
    <w:rsid w:val="00326F90"/>
    <w:pPr>
      <w:spacing w:after="200" w:before="0"/>
      <w:ind w:left="1080" w:hanging="360"/>
      <w:contextualSpacing w:val="1"/>
    </w:pPr>
    <w:rPr/>
  </w:style>
  <w:style w:type="paragraph" w:styleId="ListBullet">
    <w:name w:val="List Bullet"/>
    <w:basedOn w:val="Normal"/>
    <w:uiPriority w:val="99"/>
    <w:unhideWhenUsed w:val="1"/>
    <w:rsid w:val="00326F90"/>
    <w:pPr>
      <w:numPr>
        <w:ilvl w:val="0"/>
        <w:numId w:val="1"/>
      </w:numPr>
      <w:spacing w:after="200" w:before="0"/>
      <w:contextualSpacing w:val="1"/>
    </w:pPr>
    <w:rPr/>
  </w:style>
  <w:style w:type="paragraph" w:styleId="ListBullet2">
    <w:name w:val="List Bullet 2"/>
    <w:basedOn w:val="Normal"/>
    <w:uiPriority w:val="99"/>
    <w:unhideWhenUsed w:val="1"/>
    <w:rsid w:val="00326F90"/>
    <w:pPr>
      <w:numPr>
        <w:ilvl w:val="0"/>
        <w:numId w:val="2"/>
      </w:numPr>
      <w:spacing w:after="200" w:before="0"/>
      <w:contextualSpacing w:val="1"/>
    </w:pPr>
    <w:rPr/>
  </w:style>
  <w:style w:type="paragraph" w:styleId="ListBullet3">
    <w:name w:val="List Bullet 3"/>
    <w:basedOn w:val="Normal"/>
    <w:uiPriority w:val="99"/>
    <w:unhideWhenUsed w:val="1"/>
    <w:rsid w:val="00326F90"/>
    <w:pPr>
      <w:numPr>
        <w:ilvl w:val="0"/>
        <w:numId w:val="3"/>
      </w:numPr>
      <w:spacing w:after="200" w:before="0"/>
      <w:contextualSpacing w:val="1"/>
    </w:pPr>
    <w:rPr/>
  </w:style>
  <w:style w:type="paragraph" w:styleId="ListNumber">
    <w:name w:val="List Number"/>
    <w:basedOn w:val="Normal"/>
    <w:uiPriority w:val="99"/>
    <w:unhideWhenUsed w:val="1"/>
    <w:rsid w:val="00326F90"/>
    <w:pPr>
      <w:numPr>
        <w:ilvl w:val="0"/>
        <w:numId w:val="4"/>
      </w:numPr>
      <w:spacing w:after="200" w:before="0"/>
      <w:contextualSpacing w:val="1"/>
    </w:pPr>
    <w:rPr/>
  </w:style>
  <w:style w:type="paragraph" w:styleId="ListNumber2">
    <w:name w:val="List Number 2"/>
    <w:basedOn w:val="Normal"/>
    <w:uiPriority w:val="99"/>
    <w:unhideWhenUsed w:val="1"/>
    <w:rsid w:val="0029639D"/>
    <w:pPr>
      <w:numPr>
        <w:ilvl w:val="0"/>
        <w:numId w:val="5"/>
      </w:numPr>
      <w:spacing w:after="200" w:before="0"/>
      <w:contextualSpacing w:val="1"/>
    </w:pPr>
    <w:rPr/>
  </w:style>
  <w:style w:type="paragraph" w:styleId="ListNumber3">
    <w:name w:val="List Number 3"/>
    <w:basedOn w:val="Normal"/>
    <w:uiPriority w:val="99"/>
    <w:unhideWhenUsed w:val="1"/>
    <w:rsid w:val="0029639D"/>
    <w:pPr>
      <w:numPr>
        <w:ilvl w:val="0"/>
        <w:numId w:val="6"/>
      </w:numPr>
      <w:spacing w:after="200" w:before="0"/>
      <w:contextualSpacing w:val="1"/>
    </w:pPr>
    <w:rPr/>
  </w:style>
  <w:style w:type="paragraph" w:styleId="ListContinue">
    <w:name w:val="List Continue"/>
    <w:basedOn w:val="Normal"/>
    <w:uiPriority w:val="99"/>
    <w:unhideWhenUsed w:val="1"/>
    <w:rsid w:val="0029639D"/>
    <w:pPr>
      <w:spacing w:after="120" w:before="0"/>
      <w:ind w:left="360"/>
      <w:contextualSpacing w:val="1"/>
    </w:pPr>
    <w:rPr/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 w:before="0"/>
      <w:ind w:left="720"/>
      <w:contextualSpacing w:val="1"/>
    </w:pPr>
    <w:rPr/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 w:before="0"/>
      <w:ind w:left="1080"/>
      <w:contextualSpacing w:val="1"/>
    </w:pPr>
    <w:rPr/>
  </w:style>
  <w:style w:type="paragraph" w:styleId="MacroText">
    <w:name w:val="macro"/>
    <w:link w:val="MacroTextChar"/>
    <w:uiPriority w:val="99"/>
    <w:unhideWhenUsed w:val="1"/>
    <w:qFormat w:val="1"/>
    <w:rsid w:val="0029639D"/>
    <w:pPr>
      <w:widowControl w:val="1"/>
      <w:tabs>
        <w:tab w:val="clear" w:pos="720"/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bidi w:val="0"/>
      <w:spacing w:after="200" w:before="0" w:line="276" w:lineRule="auto"/>
      <w:jc w:val="left"/>
    </w:pPr>
    <w:rPr>
      <w:rFonts w:ascii="Courier" w:cs="" w:eastAsia="ＭＳ 明朝" w:hAnsi="Courier" w:cstheme="minorBidi" w:eastAsiaTheme="minorEastAsia"/>
      <w:color w:val="auto"/>
      <w:kern w:val="0"/>
      <w:sz w:val="20"/>
      <w:szCs w:val="20"/>
      <w:lang w:bidi="ar-SA" w:eastAsia="en-US" w:val="en-US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pPr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  <w:rPr/>
  </w:style>
  <w:style w:type="numbering" w:styleId="Style7" w:default="1">
    <w:name w:val="Без списка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7ba0cd" w:space="0" w:sz="8" w:themeColor="accent1" w:val="single"/>
          <w:left w:color="7ba0cd" w:space="0" w:sz="8" w:themeColor="accent1" w:val="single"/>
          <w:bottom w:color="7ba0cd" w:space="0" w:sz="8" w:themeColor="accent1" w:val="single"/>
          <w:right w:color="7ba0cd" w:space="0" w:sz="8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val="double"/>
          <w:left w:color="7ba0cd" w:space="0" w:sz="8" w:themeColor="accent1" w:val="single"/>
          <w:bottom w:color="7ba0cd" w:space="0" w:sz="8" w:themeColor="accent1" w:val="single"/>
          <w:right w:color="7ba0cd" w:space="0" w:sz="8" w:themeColor="accen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cf7b79" w:space="0" w:sz="8" w:themeColor="accent2" w:val="single"/>
          <w:left w:color="cf7b79" w:space="0" w:sz="8" w:themeColor="accent2" w:val="single"/>
          <w:bottom w:color="cf7b79" w:space="0" w:sz="8" w:themeColor="accent2" w:val="single"/>
          <w:right w:color="cf7b79" w:space="0" w:sz="8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val="double"/>
          <w:left w:color="cf7b79" w:space="0" w:sz="8" w:themeColor="accent2" w:val="single"/>
          <w:bottom w:color="cf7b79" w:space="0" w:sz="8" w:themeColor="accent2" w:val="single"/>
          <w:right w:color="cf7b79" w:space="0" w:sz="8" w:themeColor="accent2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b3cc82" w:space="0" w:sz="8" w:themeColor="accent3" w:val="single"/>
          <w:left w:color="b3cc82" w:space="0" w:sz="8" w:themeColor="accent3" w:val="single"/>
          <w:bottom w:color="b3cc82" w:space="0" w:sz="8" w:themeColor="accent3" w:val="single"/>
          <w:right w:color="b3cc82" w:space="0" w:sz="8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val="double"/>
          <w:left w:color="b3cc82" w:space="0" w:sz="8" w:themeColor="accent3" w:val="single"/>
          <w:bottom w:color="b3cc82" w:space="0" w:sz="8" w:themeColor="accent3" w:val="single"/>
          <w:right w:color="b3cc82" w:space="0" w:sz="8" w:themeColor="accent3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9f8ab9" w:space="0" w:sz="8" w:themeColor="accent4" w:val="single"/>
          <w:left w:color="9f8ab9" w:space="0" w:sz="8" w:themeColor="accent4" w:val="single"/>
          <w:bottom w:color="9f8ab9" w:space="0" w:sz="8" w:themeColor="accent4" w:val="single"/>
          <w:right w:color="9f8ab9" w:space="0" w:sz="8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val="double"/>
          <w:left w:color="9f8ab9" w:space="0" w:sz="8" w:themeColor="accent4" w:val="single"/>
          <w:bottom w:color="9f8ab9" w:space="0" w:sz="8" w:themeColor="accent4" w:val="single"/>
          <w:right w:color="9f8ab9" w:space="0" w:sz="8" w:themeColor="accent4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78c0d4" w:space="0" w:sz="8" w:themeColor="accent5" w:val="single"/>
          <w:left w:color="78c0d4" w:space="0" w:sz="8" w:themeColor="accent5" w:val="single"/>
          <w:bottom w:color="78c0d4" w:space="0" w:sz="8" w:themeColor="accent5" w:val="single"/>
          <w:right w:color="78c0d4" w:space="0" w:sz="8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val="double"/>
          <w:left w:color="78c0d4" w:space="0" w:sz="8" w:themeColor="accent5" w:val="single"/>
          <w:bottom w:color="78c0d4" w:space="0" w:sz="8" w:themeColor="accent5" w:val="single"/>
          <w:right w:color="78c0d4" w:space="0" w:sz="8" w:themeColor="accent5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f9b074" w:space="0" w:sz="8" w:themeColor="accent6" w:val="single"/>
          <w:left w:color="f9b074" w:space="0" w:sz="8" w:themeColor="accent6" w:val="single"/>
          <w:bottom w:color="f9b074" w:space="0" w:sz="8" w:themeColor="accent6" w:val="single"/>
          <w:right w:color="f9b074" w:space="0" w:sz="8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val="double"/>
          <w:left w:color="f9b074" w:space="0" w:sz="8" w:themeColor="accent6" w:val="single"/>
          <w:bottom w:color="f9b074" w:space="0" w:sz="8" w:themeColor="accent6" w:val="single"/>
          <w:right w:color="f9b074" w:space="0" w:sz="8" w:themeColor="accent6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404040" w:space="0" w:sz="1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7ba0cd" w:space="0" w:sz="1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cf7b79" w:space="0" w:sz="1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b3cc82" w:space="0" w:sz="1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9f8ab9" w:space="0" w:sz="1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78c0d4" w:space="0" w:sz="1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f9b074" w:space="0" w:sz="1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6.jpg"/><Relationship Id="rId12" Type="http://schemas.openxmlformats.org/officeDocument/2006/relationships/image" Target="media/image3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mciJV8edbHAkYbLwst5zGRzRxw==">CgMxLjA4AHIhMTd1blJaenN3dHV3cFR4NmxVVHBSSjNMWEJZa216dHdI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