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  <w:t xml:space="preserve">Тезисы выступления: Состояние и тренды телекоммуникационного рынка России в 2025 году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k5rbiayow5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Текущее состояние рынка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Рост и стагнация</w:t>
      </w:r>
      <w:r w:rsidDel="00000000" w:rsidR="00000000" w:rsidRPr="00000000">
        <w:rPr>
          <w:rtl w:val="0"/>
        </w:rPr>
        <w:t xml:space="preserve">:</w:t>
        <w:br w:type="textWrapping"/>
        <w:t xml:space="preserve">В 2024 году телеком-рынок вырос на 6,2% до 2 трлн рублей, но в 2025-м ожидается стагнация из-за блокировок SIM-карт (более 9,5 млн за 2024 г.) и снижения интереса к платному ТВ. Основной драйвер роста — мобильный интернет (61% доходов).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учете инфляции (9,52% в 2024 г.) реальный рост рынка отрицательный (-3,32%).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Экосистемные модели</w:t>
      </w:r>
      <w:r w:rsidDel="00000000" w:rsidR="00000000" w:rsidRPr="00000000">
        <w:rPr>
          <w:rtl w:val="0"/>
        </w:rPr>
        <w:t xml:space="preserve">:</w:t>
        <w:br w:type="textWrapping"/>
        <w:t xml:space="preserve">Операторы переходят от услуг связи к комплексным предложениям: интернет + ТВ + банковские услуги + стриминг + онлайн-образование. Пример: интеграция с медиасервисами и IoT-решениями для умных домов.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5h34nh5nu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Ключевые технологические тренды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Искусственный интеллект (ИИ)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Генеративный ИИ используется для автоматизации клиентской поддержки, персонализации услуг и аналитики. Прогнозируется дополнительная прибыль в 3–4% за 2 года и 8–10% за 5 лет.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Внедрение ИИ-решений сокращает затраты на обслуживание на 15–20%.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Интернет вещей (IoT)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Российский рынок IoT достиг 172 млрд руб. в 2023 г. Активно развиваются сети NB-IoT для умных городов (видеонаблюдение, интеллектуальные счетчики).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5G и отечественное оборудование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 серийного производства базовых станций 4G/5G (планируется 10–15 тыс. устройств в год). Локализация оборудования — ключевой приоритет (к 2027 г. — 100% отечественных станций).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pecxk91b6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Регуляторные изменения и господдержка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Импортозамещение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Требования по локализации оборудования: 80% сетевого и 95% клиентского оборудования пока импортные. Разработка отечественных решений (Eltex, RDP, Yadro) ускоряется 13.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 2025 г. запрет на иностранное ПО и оборудование для объектов КИИ (критической информационной инфраструктуры).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Льготы для операторов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Снижение налога на прибыль до 3%, страховых взносов до 7,6%, льготные кредиты (3%) на оборудование. Заморозка части «закона Яровой» до 2030 г.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prs8t9kke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Кадровые вызовы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Дефицит специалистов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Нехватка 500–700 тыс. инженеров (DevOps-инженеры, разработчики на С/С++, тестировщики). Средняя зарплата выросла на 18%, но конкуренция с маркетплейсами сохраняется.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процессов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Перевод служб поддержки в автоматический режим и аутсорсинг бизнес-процессов для оптимизации расходов.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maao2fq5h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Экономические факторы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Повышение тарифов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Рост себестоимости услуг (импортозамещение, кибербезопасность) вынуждает операторов повышать тарифы. Прогнозируемая инфляция в 2025 г. усилит эту тенденцию.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Инвестиции в инфраструктуру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Развитие спутникового интернета (планы по запуску группировки для ШПД) и сетей 5G в городах с населением от 100 тыс.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5e8xbs4t3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Кибербезопасность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Новые 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 2025 г. ФСТЭК контролирует категорирование объектов КИИ. Штрафы за нарушения и запрет на иностранное ПО ужесточают защиту данных.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Увеличение кибератак на 100% в 2024 г. (10% — телеком-сектор).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wvam90a5n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Заключение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Телеком-рынок 2025 года балансирует между технологическим прорывом и экономическими рисками. Ключевые приоритеты: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Развитие экосистем и ИИ-решений для удержания клиентов.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Ускорение импортозамещения при поддержке государства.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Преодоление кадрового дефицита через автоматизацию и обучение.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Укрепление кибербезопасности в условиях растущих угроз.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