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56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0C7C86"/>
          <w:sz w:val="17"/>
        </w:rPr>
        <w:t>THEMATIC RESEARCH  |  TECHNOLOGY &amp; COMMUNICATIONS</w:t>
      </w:r>
    </w:p>
    <w:p>
      <w:pPr>
        <w:keepNext w:val="0"/>
        <w:spacing w:before="0" w:after="100" w:line="240" w:lineRule="auto"/>
        <w:jc w:val="center"/>
      </w:pPr>
      <w:r>
        <w:rPr>
          <w:rFonts w:ascii="Calibri" w:hAnsi="Calibri" w:eastAsia="Microsoft YaHei" w:cs="Calibri"/>
          <w:b/>
          <w:i w:val="0"/>
          <w:color w:val="163A5F"/>
          <w:sz w:val="54"/>
        </w:rPr>
        <w:t>2026 全球共封装光学（CPO）</w:t>
      </w:r>
    </w:p>
    <w:p>
      <w:pPr>
        <w:keepNext w:val="0"/>
        <w:spacing w:before="0" w:after="280" w:line="240" w:lineRule="auto"/>
        <w:jc w:val="center"/>
      </w:pPr>
      <w:r>
        <w:rPr>
          <w:rFonts w:ascii="Calibri" w:hAnsi="Calibri" w:eastAsia="Microsoft YaHei" w:cs="Calibri"/>
          <w:b/>
          <w:i w:val="0"/>
          <w:color w:val="163A5F"/>
          <w:sz w:val="54"/>
        </w:rPr>
        <w:t>行业投资策略</w:t>
      </w:r>
    </w:p>
    <w:p>
      <w:pPr>
        <w:keepNext w:val="0"/>
        <w:spacing w:before="0" w:after="960" w:line="252" w:lineRule="auto"/>
        <w:jc w:val="center"/>
      </w:pPr>
      <w:r>
        <w:rPr>
          <w:rFonts w:ascii="Calibri" w:hAnsi="Calibri" w:eastAsia="Microsoft YaHei" w:cs="Calibri"/>
          <w:b w:val="0"/>
          <w:i w:val="0"/>
          <w:color w:val="0C7C86"/>
          <w:sz w:val="26"/>
        </w:rPr>
        <w:t>近端可插拔现金流 × 中期结构期权</w:t>
      </w:r>
    </w:p>
    <w:p>
      <w:pPr>
        <w:keepNext w:val="0"/>
        <w:spacing w:before="0" w:after="16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1F2933"/>
          <w:sz w:val="21"/>
        </w:rPr>
        <w:t>核心议题</w:t>
      </w:r>
      <w:r>
        <w:rPr>
          <w:rFonts w:ascii="Calibri" w:hAnsi="Calibri" w:eastAsia="Microsoft YaHei" w:cs="Calibri"/>
          <w:b w:val="0"/>
          <w:i w:val="0"/>
          <w:color w:val="1F2933"/>
          <w:sz w:val="21"/>
        </w:rPr>
        <w:t xml:space="preserve">  路线时点、价值链迁移、证据阶段与组合纪律</w:t>
      </w:r>
    </w:p>
    <w:p>
      <w:pPr>
        <w:keepNext w:val="0"/>
        <w:spacing w:before="0" w:after="6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637381"/>
          <w:sz w:val="19"/>
        </w:rPr>
        <w:t>报告日期</w:t>
      </w:r>
      <w:r>
        <w:rPr>
          <w:rFonts w:ascii="Calibri" w:hAnsi="Calibri" w:eastAsia="Microsoft YaHei" w:cs="Calibri"/>
          <w:b w:val="0"/>
          <w:i w:val="0"/>
          <w:color w:val="637381"/>
          <w:sz w:val="19"/>
        </w:rPr>
        <w:t xml:space="preserve">  2026-07-12</w:t>
      </w:r>
    </w:p>
    <w:p>
      <w:pPr>
        <w:keepNext w:val="0"/>
        <w:spacing w:before="0" w:after="6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637381"/>
          <w:sz w:val="19"/>
        </w:rPr>
        <w:t>信息截止日</w:t>
      </w:r>
      <w:r>
        <w:rPr>
          <w:rFonts w:ascii="Calibri" w:hAnsi="Calibri" w:eastAsia="Microsoft YaHei" w:cs="Calibri"/>
          <w:b w:val="0"/>
          <w:i w:val="0"/>
          <w:color w:val="637381"/>
          <w:sz w:val="19"/>
        </w:rPr>
        <w:t xml:space="preserve">  2026-07-12</w:t>
      </w:r>
    </w:p>
    <w:p>
      <w:pPr>
        <w:keepNext w:val="0"/>
        <w:spacing w:before="0" w:after="88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637381"/>
          <w:sz w:val="19"/>
        </w:rPr>
        <w:t>研究范围</w:t>
      </w:r>
      <w:r>
        <w:rPr>
          <w:rFonts w:ascii="Calibri" w:hAnsi="Calibri" w:eastAsia="Microsoft YaHei" w:cs="Calibri"/>
          <w:b w:val="0"/>
          <w:i w:val="0"/>
          <w:color w:val="637381"/>
          <w:sz w:val="19"/>
        </w:rPr>
        <w:t xml:space="preserve">  附件 06 冻结 A 股及美股/ADR 候选池</w:t>
      </w:r>
    </w:p>
    <w:p>
      <w:pPr>
        <w:keepNext w:val="0"/>
        <w:spacing w:before="0" w:after="120" w:line="252" w:lineRule="auto"/>
        <w:jc w:val="center"/>
        <w:shd w:fill="FBF4DF"/>
        <w:ind w:left="100" w:right="100"/>
      </w:pPr>
      <w:r>
        <w:rPr>
          <w:rFonts w:ascii="Calibri" w:hAnsi="Calibri" w:eastAsia="Microsoft YaHei" w:cs="Calibri"/>
          <w:b/>
          <w:i w:val="0"/>
          <w:color w:val="8A4B00"/>
          <w:sz w:val="18"/>
        </w:rPr>
        <w:t>仅供冻结评测，不构成投资建议</w:t>
      </w:r>
    </w:p>
    <w:p>
      <w:pPr>
        <w:keepNext w:val="0"/>
        <w:spacing w:before="0" w:after="0" w:line="252" w:lineRule="auto"/>
        <w:jc w:val="center"/>
      </w:pPr>
      <w:r>
        <w:rPr>
          <w:rFonts w:ascii="Calibri" w:hAnsi="Calibri" w:eastAsia="Microsoft YaHei" w:cs="Calibri"/>
          <w:b w:val="0"/>
          <w:i w:val="0"/>
          <w:color w:val="637381"/>
          <w:sz w:val="16"/>
        </w:rPr>
        <w:t>本报告是一种证据一致的示例方案；不同的池内标的、权重、情景或多空方向可同样成立。</w:t>
      </w: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01  INVESTMENT VIEW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执行摘要与需求证据</w:t>
      </w:r>
    </w:p>
    <w:p>
      <w:pPr>
        <w:keepNext w:val="0"/>
        <w:spacing w:before="0" w:after="100" w:line="252" w:lineRule="auto"/>
        <w:jc w:val="left"/>
        <w:shd w:fill="EAF0F6"/>
        <w:ind w:left="100" w:right="10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示例判断：</w:t>
      </w:r>
      <w:r>
        <w:rPr>
          <w:rFonts w:ascii="Calibri" w:hAnsi="Calibri" w:eastAsia="Microsoft YaHei" w:cs="Calibri"/>
          <w:b w:val="0"/>
          <w:i w:val="0"/>
          <w:color w:val="163A5F"/>
          <w:sz w:val="20"/>
        </w:rPr>
        <w:t>采用“近端可插拔现金流 + 中期 CPO 结构期权”的均衡组合；不把生态、验证或平台发布当作订单。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组合结论。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5 只、4 个唯一主环节；中际旭创 24%、天孚通信 22%、源杰科技 14%、AVGO 24%、NVDA 16%。含 1 只近端可插拔和 4 只潜在结构受益，单只最高 24%。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关键反方。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2026e AI 后端仍约 90% 使用可插拔；CPO 的良率、散热、维修和标准化可能延迟采用。若 1.6T 与 CPO 同时低于附件路径，应降低总风险预算，而非仅做环节轮动。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证伪框架。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跟踪四家公司 capex 斜率、1.6T 出货、CPO attached ports、光引擎良率/认证和可插拔份额；只有证据阶段升级才提高结构仓位。</w:t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公司总 capex：强需求代理，但不是 AI 专属支出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830"/>
        <w:gridCol w:w="1050"/>
        <w:gridCol w:w="1050"/>
        <w:gridCol w:w="1050"/>
        <w:gridCol w:w="5054"/>
      </w:tblGrid>
      <w:tr>
        <w:trPr>
          <w:trHeight w:hRule="atLeast"/>
          <w:tblHeader w:val="true"/>
          <w:cantSplit/>
        </w:trPr>
        <w:tc>
          <w:tcPr>
            <w:tcW w:type="dxa" w:w="183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指标（USD bn）</w:t>
            </w:r>
          </w:p>
        </w:tc>
        <w:tc>
          <w:tcPr>
            <w:tcW w:type="dxa" w:w="10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FY2022</w:t>
            </w:r>
          </w:p>
        </w:tc>
        <w:tc>
          <w:tcPr>
            <w:tcW w:type="dxa" w:w="10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FY2024</w:t>
            </w:r>
          </w:p>
        </w:tc>
        <w:tc>
          <w:tcPr>
            <w:tcW w:type="dxa" w:w="10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FY2025</w:t>
            </w:r>
          </w:p>
        </w:tc>
        <w:tc>
          <w:tcPr>
            <w:tcW w:type="dxa" w:w="505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解读边界</w:t>
            </w:r>
          </w:p>
        </w:tc>
      </w:tr>
      <w:tr>
        <w:trPr>
          <w:cantSplit/>
          <w:trHeight w:hRule="atLeast"/>
        </w:trPr>
        <w:tc>
          <w:tcPr>
            <w:tcW w:type="dxa" w:w="183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四家公司总 capex</w:t>
            </w:r>
          </w:p>
        </w:tc>
        <w:tc>
          <w:tcPr>
            <w:tcW w:type="dxa" w:w="10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150.447</w:t>
            </w:r>
          </w:p>
        </w:tc>
        <w:tc>
          <w:tcPr>
            <w:tcW w:type="dxa" w:w="10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217.267</w:t>
            </w:r>
          </w:p>
        </w:tc>
        <w:tc>
          <w:tcPr>
            <w:tcW w:type="dxa" w:w="10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357.508</w:t>
            </w:r>
          </w:p>
        </w:tc>
        <w:tc>
          <w:tcPr>
            <w:tcW w:type="dxa" w:w="505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财年不齐；MSFT 为 6 月财年；AMZN 概念不同；不得直接等同 AI capex</w:t>
            </w:r>
          </w:p>
        </w:tc>
      </w:tr>
    </w:tbl>
    <w:p>
      <w:pPr>
        <w:spacing w:before="0" w:after="20"/>
      </w:pP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01；SEC EDGAR companyfacts，retrieved 2026-07-12。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1"/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美股 comps：公司级财务显著分化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200"/>
        <w:gridCol w:w="1680"/>
        <w:gridCol w:w="1200"/>
        <w:gridCol w:w="1200"/>
        <w:gridCol w:w="4754"/>
      </w:tblGrid>
      <w:tr>
        <w:trPr>
          <w:trHeight w:hRule="atLeast"/>
          <w:tblHeader w:val="true"/>
          <w:cantSplit/>
        </w:trPr>
        <w:tc>
          <w:tcPr>
            <w:tcW w:type="dxa" w:w="12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公司</w:t>
            </w:r>
          </w:p>
        </w:tc>
        <w:tc>
          <w:tcPr>
            <w:tcW w:type="dxa" w:w="168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FY2024 收入</w:t>
            </w:r>
          </w:p>
        </w:tc>
        <w:tc>
          <w:tcPr>
            <w:tcW w:type="dxa" w:w="12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毛利率</w:t>
            </w:r>
          </w:p>
        </w:tc>
        <w:tc>
          <w:tcPr>
            <w:tcW w:type="dxa" w:w="12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收入同比</w:t>
            </w:r>
          </w:p>
        </w:tc>
        <w:tc>
          <w:tcPr>
            <w:tcW w:type="dxa" w:w="475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研究含义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AVGO</w:t>
            </w:r>
          </w:p>
        </w:tc>
        <w:tc>
          <w:tcPr>
            <w:tcW w:type="dxa" w:w="168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USD 51.574bn</w:t>
            </w:r>
          </w:p>
        </w:tc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63.0%</w:t>
            </w:r>
          </w:p>
        </w:tc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+44.0%</w:t>
            </w:r>
          </w:p>
        </w:tc>
        <w:tc>
          <w:tcPr>
            <w:tcW w:type="dxa" w:w="475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ASIC/DSP 平台高增，不代表 CPO 分部收入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NVDA</w:t>
            </w:r>
          </w:p>
        </w:tc>
        <w:tc>
          <w:tcPr>
            <w:tcW w:type="dxa" w:w="168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USD 60.922bn</w:t>
            </w:r>
          </w:p>
        </w:tc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72.7%</w:t>
            </w:r>
          </w:p>
        </w:tc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+125.9%</w:t>
            </w:r>
          </w:p>
        </w:tc>
        <w:tc>
          <w:tcPr>
            <w:tcW w:type="dxa" w:w="475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算力/网络平台高增，财年截至 2024-01-28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COHR</w:t>
            </w:r>
          </w:p>
        </w:tc>
        <w:tc>
          <w:tcPr>
            <w:tcW w:type="dxa" w:w="168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USD 4.708bn</w:t>
            </w:r>
          </w:p>
        </w:tc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30.9%</w:t>
            </w:r>
          </w:p>
        </w:tc>
        <w:tc>
          <w:tcPr>
            <w:tcW w:type="dxa" w:w="1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-8.8%</w:t>
            </w:r>
          </w:p>
        </w:tc>
        <w:tc>
          <w:tcPr>
            <w:tcW w:type="dxa" w:w="475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器件受电信/工业周期拖累，构成反方证据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LITE</w:t>
            </w:r>
          </w:p>
        </w:tc>
        <w:tc>
          <w:tcPr>
            <w:tcW w:type="dxa" w:w="168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USD 1.359bn</w:t>
            </w:r>
          </w:p>
        </w:tc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18.5%</w:t>
            </w:r>
          </w:p>
        </w:tc>
        <w:tc>
          <w:tcPr>
            <w:tcW w:type="dxa" w:w="1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-23.1%</w:t>
            </w:r>
          </w:p>
        </w:tc>
        <w:tc>
          <w:tcPr>
            <w:tcW w:type="dxa" w:w="475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“AI 光”不是全行业同向交易</w:t>
            </w:r>
          </w:p>
        </w:tc>
      </w:tr>
    </w:tbl>
    <w:p>
      <w:pPr>
        <w:spacing w:before="0" w:after="20"/>
      </w:pP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02；各公司财年截止日不齐，附件未提供 CPO 分部收入或即时估值。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2"/>
      </w:r>
    </w:p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637381"/>
          <w:sz w:val="17"/>
        </w:rPr>
        <w:t>利率/美元边界。</w:t>
      </w:r>
      <w:r>
        <w:rPr>
          <w:rFonts w:ascii="Calibri" w:hAnsi="Calibri" w:eastAsia="Microsoft YaHei" w:cs="Calibri"/>
          <w:b w:val="0"/>
          <w:i w:val="0"/>
          <w:color w:val="637381"/>
          <w:sz w:val="17"/>
        </w:rPr>
        <w:t>附件没有因果检验。本示例仅把 AI capex 视为直接需求变量；利率可能经折现率和资本成本、美元经汇兑与海外成本间接影响组合，方向与弹性待验证。</w:t>
      </w: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02  TECHNOLOGY ROADMAP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产业与技术路线图</w:t>
      </w:r>
    </w:p>
    <w:p>
      <w:pPr>
        <w:keepNext w:val="0"/>
        <w:spacing w:before="0" w:after="100" w:line="252" w:lineRule="auto"/>
        <w:jc w:val="left"/>
        <w:shd w:fill="E7F3F4"/>
        <w:ind w:left="100" w:right="10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结论。</w:t>
      </w:r>
      <w:r>
        <w:rPr>
          <w:rFonts w:ascii="Calibri" w:hAnsi="Calibri" w:eastAsia="Microsoft YaHei" w:cs="Calibri"/>
          <w:b w:val="0"/>
          <w:i w:val="0"/>
          <w:color w:val="163A5F"/>
          <w:sz w:val="20"/>
        </w:rPr>
        <w:t>三条路线并行，胜负取决于工程取舍和采用时点；可插拔的近端确定性与 CPO 的结构期权应分开定价。</w:t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架构比较：不是单一方向的线性替代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100"/>
        <w:gridCol w:w="1900"/>
        <w:gridCol w:w="2100"/>
        <w:gridCol w:w="2500"/>
        <w:gridCol w:w="2434"/>
      </w:tblGrid>
      <w:tr>
        <w:trPr>
          <w:trHeight w:hRule="atLeast"/>
          <w:tblHeader w:val="true"/>
          <w:cantSplit/>
        </w:trPr>
        <w:tc>
          <w:tcPr>
            <w:tcW w:type="dxa" w:w="11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架构</w:t>
            </w:r>
          </w:p>
        </w:tc>
        <w:tc>
          <w:tcPr>
            <w:tcW w:type="dxa" w:w="19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器件位置/功耗</w:t>
            </w:r>
          </w:p>
        </w:tc>
        <w:tc>
          <w:tcPr>
            <w:tcW w:type="dxa" w:w="21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优势</w:t>
            </w:r>
          </w:p>
        </w:tc>
        <w:tc>
          <w:tcPr>
            <w:tcW w:type="dxa" w:w="25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主要约束</w:t>
            </w:r>
          </w:p>
        </w:tc>
        <w:tc>
          <w:tcPr>
            <w:tcW w:type="dxa" w:w="243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投资含义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可插拔</w:t>
            </w:r>
          </w:p>
        </w:tc>
        <w:tc>
          <w:tcPr>
            <w:tcW w:type="dxa" w:w="1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前面板；完整 DSP；功耗较高</w:t>
            </w:r>
          </w:p>
        </w:tc>
        <w:tc>
          <w:tcPr>
            <w:tcW w:type="dxa" w:w="2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成熟、热插拔、供应链完整</w:t>
            </w:r>
          </w:p>
        </w:tc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高速率下电通道损耗与功耗上升</w:t>
            </w:r>
          </w:p>
        </w:tc>
        <w:tc>
          <w:tcPr>
            <w:tcW w:type="dxa" w:w="24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2025-2026 兑现 1.6T；同时承担中期替代风险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LPO/LRO</w:t>
            </w:r>
          </w:p>
        </w:tc>
        <w:tc>
          <w:tcPr>
            <w:tcW w:type="dxa" w:w="19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保留可插拔；去除/简化 DSP</w:t>
            </w:r>
          </w:p>
        </w:tc>
        <w:tc>
          <w:tcPr>
            <w:tcW w:type="dxa" w:w="21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较低功耗与时延；维护便利</w:t>
            </w:r>
          </w:p>
        </w:tc>
        <w:tc>
          <w:tcPr>
            <w:tcW w:type="dxa" w:w="25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系统级 SerDes、链路预算与互操作</w:t>
            </w:r>
          </w:p>
        </w:tc>
        <w:tc>
          <w:tcPr>
            <w:tcW w:type="dxa" w:w="24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既是过渡也可能延后 CPO 渗透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</w:t>
            </w:r>
          </w:p>
        </w:tc>
        <w:tc>
          <w:tcPr>
            <w:tcW w:type="dxa" w:w="1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光引擎与 ASIC 同封装</w:t>
            </w:r>
          </w:p>
        </w:tc>
        <w:tc>
          <w:tcPr>
            <w:tcW w:type="dxa" w:w="2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目标功耗最低、带宽密度最高</w:t>
            </w:r>
          </w:p>
        </w:tc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良率、散热、测试、维修、光源可维护性</w:t>
            </w:r>
          </w:p>
        </w:tc>
        <w:tc>
          <w:tcPr>
            <w:tcW w:type="dxa" w:w="24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结构机会集中于 ASIC/光引擎/ELS/连接；需证据升级</w:t>
            </w:r>
          </w:p>
        </w:tc>
      </w:tr>
    </w:tbl>
    <w:p>
      <w:pPr>
        <w:spacing w:before="0" w:after="20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800G → 1.6T → 3.2T：把事实、估计与触发器分开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400"/>
        <w:gridCol w:w="2450"/>
        <w:gridCol w:w="3300"/>
        <w:gridCol w:w="2884"/>
      </w:tblGrid>
      <w:tr>
        <w:trPr>
          <w:trHeight w:hRule="atLeast"/>
          <w:tblHeader w:val="true"/>
          <w:cantSplit/>
        </w:trPr>
        <w:tc>
          <w:tcPr>
            <w:tcW w:type="dxa" w:w="14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24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主流速率/架构</w:t>
            </w:r>
          </w:p>
        </w:tc>
        <w:tc>
          <w:tcPr>
            <w:tcW w:type="dxa" w:w="33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附件路径</w:t>
            </w:r>
          </w:p>
        </w:tc>
        <w:tc>
          <w:tcPr>
            <w:tcW w:type="dxa" w:w="288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关键验证指标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2024</w:t>
            </w:r>
          </w:p>
        </w:tc>
        <w:tc>
          <w:tcPr>
            <w:tcW w:type="dxa" w:w="2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800G 可插拔规模化</w:t>
            </w:r>
          </w:p>
        </w:tc>
        <w:tc>
          <w:tcPr>
            <w:tcW w:type="dxa" w:w="33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可插拔约 99%；CPO 仍早期</w:t>
            </w:r>
          </w:p>
        </w:tc>
        <w:tc>
          <w:tcPr>
            <w:tcW w:type="dxa" w:w="28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800G 出货、端口功耗、模块毛利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2025-2026e</w:t>
            </w:r>
          </w:p>
        </w:tc>
        <w:tc>
          <w:tcPr>
            <w:tcW w:type="dxa" w:w="24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1.6T 爬坡；LPO/LRO 并行</w:t>
            </w:r>
          </w:p>
        </w:tc>
        <w:tc>
          <w:tcPr>
            <w:tcW w:type="dxa" w:w="33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2026e 1.6T 约 12m；CPO ports 约 2m；可插拔约 90%</w:t>
            </w:r>
          </w:p>
        </w:tc>
        <w:tc>
          <w:tcPr>
            <w:tcW w:type="dxa" w:w="28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客户认证、光引擎良率、CPO 端口部署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2027e+</w:t>
            </w:r>
          </w:p>
        </w:tc>
        <w:tc>
          <w:tcPr>
            <w:tcW w:type="dxa" w:w="2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3.2T 讨论；102.4T 交换</w:t>
            </w:r>
          </w:p>
        </w:tc>
        <w:tc>
          <w:tcPr>
            <w:tcW w:type="dxa" w:w="33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2027e CPO ports 约 8m；可插拔约 78%</w:t>
            </w:r>
          </w:p>
        </w:tc>
        <w:tc>
          <w:tcPr>
            <w:tcW w:type="dxa" w:w="28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量产/现场可靠性、ELS 采用、标准成熟度</w:t>
            </w:r>
          </w:p>
        </w:tc>
      </w:tr>
    </w:tbl>
    <w:p>
      <w:pPr>
        <w:spacing w:before="0" w:after="20"/>
      </w:pP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04 为 LightCounting/Yole-style proprietary headline estimate，仅作方向性情景背景。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3"/>
      </w: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05 为技术定义与厂商公开路线；NVIDIA/Broadcom/TSMC 的产品里程碑不是客户订单。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4"/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决定性反方证据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采用节奏。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若 LPO/LRO 已满足功耗与可维护性，CPO 的经济性可能后移；若 CPO 端口部署快于附件路径，可插拔模块的终值风险会提前。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公司财务分化。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COHR/LITE FY2024 收入下滑说明器件周期、客户结构和电信拖累可以抵消 AI 主题；不能用总 capex 直接外推所有环节收入。</w:t>
      </w:r>
    </w:p>
    <w:p>
      <w:pPr>
        <w:keepNext w:val="0"/>
        <w:spacing w:before="0" w:after="0" w:line="252" w:lineRule="auto"/>
        <w:jc w:val="left"/>
        <w:shd w:fill="FBF4DF"/>
        <w:ind w:left="100" w:right="100"/>
      </w:pPr>
      <w:r>
        <w:rPr>
          <w:rFonts w:ascii="Calibri" w:hAnsi="Calibri" w:eastAsia="Microsoft YaHei" w:cs="Calibri"/>
          <w:b/>
          <w:i w:val="0"/>
          <w:color w:val="8A4B00"/>
          <w:sz w:val="17"/>
        </w:rPr>
        <w:t>证据规则。</w:t>
      </w:r>
      <w:r>
        <w:rPr>
          <w:rFonts w:ascii="Calibri" w:hAnsi="Calibri" w:eastAsia="Microsoft YaHei" w:cs="Calibri"/>
          <w:b w:val="0"/>
          <w:i w:val="0"/>
          <w:color w:val="8A4B00"/>
          <w:sz w:val="17"/>
        </w:rPr>
        <w:t>产品发布 &lt; 送样/验证 &lt; 资格认证 &lt; 小批供货 &lt; 可核验订单/收入。仓位只随证据等级上调，不随“生态”措辞自动上调。</w:t>
      </w: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03  SCENARIOS &amp; VALUE CHAIN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三情景与价值链迁移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900"/>
        <w:gridCol w:w="2400"/>
        <w:gridCol w:w="2700"/>
        <w:gridCol w:w="2050"/>
        <w:gridCol w:w="1984"/>
      </w:tblGrid>
      <w:tr>
        <w:trPr>
          <w:trHeight w:hRule="atLeast"/>
          <w:tblHeader w:val="true"/>
          <w:cantSplit/>
        </w:trPr>
        <w:tc>
          <w:tcPr>
            <w:tcW w:type="dxa" w:w="9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情景</w:t>
            </w:r>
          </w:p>
        </w:tc>
        <w:tc>
          <w:tcPr>
            <w:tcW w:type="dxa" w:w="24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核心假设/窗口</w:t>
            </w:r>
          </w:p>
        </w:tc>
        <w:tc>
          <w:tcPr>
            <w:tcW w:type="dxa" w:w="27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触发或证伪指标</w:t>
            </w:r>
          </w:p>
        </w:tc>
        <w:tc>
          <w:tcPr>
            <w:tcW w:type="dxa" w:w="20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受影响环节</w:t>
            </w:r>
          </w:p>
        </w:tc>
        <w:tc>
          <w:tcPr>
            <w:tcW w:type="dxa" w:w="198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组合动作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下行</w:t>
            </w:r>
          </w:p>
        </w:tc>
        <w:tc>
          <w:tcPr>
            <w:tcW w:type="dxa" w:w="2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2026-2027 capex 增速回落；CPO 认证/良率延迟</w:t>
            </w:r>
          </w:p>
        </w:tc>
        <w:tc>
          <w:tcPr>
            <w:tcW w:type="dxa" w:w="27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capex 斜率转负；1.6T 与 CPO ports 均低于附件路径</w:t>
            </w:r>
          </w:p>
        </w:tc>
        <w:tc>
          <w:tcPr>
            <w:tcW w:type="dxa" w:w="20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全链条；高估值期权更敏感</w:t>
            </w:r>
          </w:p>
        </w:tc>
        <w:tc>
          <w:tcPr>
            <w:tcW w:type="dxa" w:w="19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降总仓位；优先削减无订单证据的期权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基准</w:t>
            </w:r>
          </w:p>
        </w:tc>
        <w:tc>
          <w:tcPr>
            <w:tcW w:type="dxa" w:w="24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先兑现；CPO 按 2026-2028+ 渐进落地</w:t>
            </w:r>
          </w:p>
        </w:tc>
        <w:tc>
          <w:tcPr>
            <w:tcW w:type="dxa" w:w="27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接近 12m；CPO ports 接近 2m；可插拔约 90%</w:t>
            </w:r>
          </w:p>
        </w:tc>
        <w:tc>
          <w:tcPr>
            <w:tcW w:type="dxa" w:w="20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模块现金流 + ASIC/器件/ELS 期权</w:t>
            </w:r>
          </w:p>
        </w:tc>
        <w:tc>
          <w:tcPr>
            <w:tcW w:type="dxa" w:w="19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维持 24/76 近端/结构配置；按证据再平衡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上行</w:t>
            </w:r>
          </w:p>
        </w:tc>
        <w:tc>
          <w:tcPr>
            <w:tcW w:type="dxa" w:w="2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电力/密度约束使 CPO 快于附件基准</w:t>
            </w:r>
          </w:p>
        </w:tc>
        <w:tc>
          <w:tcPr>
            <w:tcW w:type="dxa" w:w="27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ports 明显高于 2m/8m 路径；验证转量产</w:t>
            </w:r>
          </w:p>
        </w:tc>
        <w:tc>
          <w:tcPr>
            <w:tcW w:type="dxa" w:w="20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ASIC/光引擎/ELS/连接；纯模块受替代</w:t>
            </w:r>
          </w:p>
        </w:tc>
        <w:tc>
          <w:tcPr>
            <w:tcW w:type="dxa" w:w="19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增结构、降纯可插拔；提高验证门槛</w:t>
            </w:r>
          </w:p>
        </w:tc>
      </w:tr>
    </w:tbl>
    <w:p>
      <w:pPr>
        <w:spacing w:before="0" w:after="20"/>
      </w:pPr>
    </w:p>
    <w:p>
      <w:pPr>
        <w:keepNext w:val="0"/>
        <w:spacing w:before="0" w:after="8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637381"/>
          <w:sz w:val="15"/>
        </w:rPr>
        <w:t>注：</w:t>
      </w:r>
      <w:r>
        <w:rPr>
          <w:rFonts w:ascii="Calibri" w:hAnsi="Calibri" w:eastAsia="Microsoft YaHei" w:cs="Calibri"/>
          <w:b w:val="0"/>
          <w:i w:val="0"/>
          <w:color w:val="637381"/>
          <w:sz w:val="15"/>
        </w:rPr>
        <w:t>上行/下行触发阈值是分析师决策规则，不是附件已经发生的事实；本示例不赋予主观概率。</w:t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六环节地图：价值量与风险如何迁移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900"/>
        <w:gridCol w:w="2600"/>
        <w:gridCol w:w="3000"/>
        <w:gridCol w:w="2534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主环节</w:t>
            </w:r>
          </w:p>
        </w:tc>
        <w:tc>
          <w:tcPr>
            <w:tcW w:type="dxa" w:w="26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价值/壁垒</w:t>
            </w:r>
          </w:p>
        </w:tc>
        <w:tc>
          <w:tcPr>
            <w:tcW w:type="dxa" w:w="30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潜在受益机制</w:t>
            </w:r>
          </w:p>
        </w:tc>
        <w:tc>
          <w:tcPr>
            <w:tcW w:type="dxa" w:w="253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反方风险与 KPI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交换 ASIC/XPU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架构定义、SerDes、平台生态</w:t>
            </w:r>
          </w:p>
        </w:tc>
        <w:tc>
          <w:tcPr>
            <w:tcW w:type="dxa" w:w="3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将网络/光 I/O 更靠近芯片平台</w:t>
            </w:r>
          </w:p>
        </w:tc>
        <w:tc>
          <w:tcPr>
            <w:tcW w:type="dxa" w:w="25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capex/平台集中；部署端口与网络收入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硅光/光引擎</w:t>
            </w:r>
          </w:p>
        </w:tc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PIC、耦合、测试与良率</w:t>
            </w:r>
          </w:p>
        </w:tc>
        <w:tc>
          <w:tcPr>
            <w:tcW w:type="dxa" w:w="30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价值从完整模块向光引擎迁移</w:t>
            </w:r>
          </w:p>
        </w:tc>
        <w:tc>
          <w:tcPr>
            <w:tcW w:type="dxa" w:w="25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良率/可靠性；认证到量产证据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光芯片/ELS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CW-DFB/EML 工艺</w:t>
            </w:r>
          </w:p>
        </w:tc>
        <w:tc>
          <w:tcPr>
            <w:tcW w:type="dxa" w:w="3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外置光源使激光器成为可维护独立环节</w:t>
            </w:r>
          </w:p>
        </w:tc>
        <w:tc>
          <w:tcPr>
            <w:tcW w:type="dxa" w:w="25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路线变化；设计采用与小批证据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可插拔光模块</w:t>
            </w:r>
          </w:p>
        </w:tc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量产、客户认证、供应链</w:t>
            </w:r>
          </w:p>
        </w:tc>
        <w:tc>
          <w:tcPr>
            <w:tcW w:type="dxa" w:w="30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近端放量</w:t>
            </w:r>
          </w:p>
        </w:tc>
        <w:tc>
          <w:tcPr>
            <w:tcW w:type="dxa" w:w="25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CPO/LPO 替代；可插拔份额/毛利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MPO/fiber shuffle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高精度连接、光纤阵列</w:t>
            </w:r>
          </w:p>
        </w:tc>
        <w:tc>
          <w:tcPr>
            <w:tcW w:type="dxa" w:w="3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高密度光引擎连接用量上升</w:t>
            </w:r>
          </w:p>
        </w:tc>
        <w:tc>
          <w:tcPr>
            <w:tcW w:type="dxa" w:w="25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标准/方案变化；单端口价值量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先进封装</w:t>
            </w:r>
          </w:p>
        </w:tc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晶圆/共封装/测试能力</w:t>
            </w:r>
          </w:p>
        </w:tc>
        <w:tc>
          <w:tcPr>
            <w:tcW w:type="dxa" w:w="30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制造约束与价值迁移</w:t>
            </w:r>
          </w:p>
        </w:tc>
        <w:tc>
          <w:tcPr>
            <w:tcW w:type="dxa" w:w="25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本题无可选标的；产能/良率仅作行业 KPI</w:t>
            </w:r>
          </w:p>
        </w:tc>
      </w:tr>
    </w:tbl>
    <w:p>
      <w:pPr>
        <w:spacing w:before="0" w:after="20"/>
      </w:pPr>
    </w:p>
    <w:p>
      <w:pPr>
        <w:keepNext w:val="0"/>
        <w:spacing w:before="0" w:after="0" w:line="252" w:lineRule="auto"/>
        <w:jc w:val="left"/>
        <w:shd w:fill="EAF0F6"/>
        <w:ind w:left="100" w:right="100"/>
      </w:pPr>
      <w:r>
        <w:rPr>
          <w:rFonts w:ascii="Calibri" w:hAnsi="Calibri" w:eastAsia="Microsoft YaHei" w:cs="Calibri"/>
          <w:b/>
          <w:i w:val="0"/>
          <w:color w:val="163A5F"/>
          <w:sz w:val="17"/>
        </w:rPr>
        <w:t>组合原则。</w:t>
      </w:r>
      <w:r>
        <w:rPr>
          <w:rFonts w:ascii="Calibri" w:hAnsi="Calibri" w:eastAsia="Microsoft YaHei" w:cs="Calibri"/>
          <w:b w:val="0"/>
          <w:i w:val="0"/>
          <w:color w:val="163A5F"/>
          <w:sz w:val="17"/>
        </w:rPr>
        <w:t>分析必须覆盖全链，但组合只需覆盖至少 3 个唯一主环节；同一公司不能用多个次要业务重复凑数。先进封装没有池内标的，因此不强行配置。</w:t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候选池硬标签与计数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750"/>
        <w:gridCol w:w="3600"/>
        <w:gridCol w:w="1800"/>
        <w:gridCol w:w="2884"/>
      </w:tblGrid>
      <w:tr>
        <w:trPr>
          <w:trHeight w:hRule="atLeast"/>
          <w:tblHeader w:val="true"/>
          <w:cantSplit/>
        </w:trPr>
        <w:tc>
          <w:tcPr>
            <w:tcW w:type="dxa" w:w="175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计数标签</w:t>
            </w:r>
          </w:p>
        </w:tc>
        <w:tc>
          <w:tcPr>
            <w:tcW w:type="dxa" w:w="36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可选标的</w:t>
            </w:r>
          </w:p>
        </w:tc>
        <w:tc>
          <w:tcPr>
            <w:tcW w:type="dxa" w:w="18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用于满足</w:t>
            </w:r>
          </w:p>
        </w:tc>
        <w:tc>
          <w:tcPr>
            <w:tcW w:type="dxa" w:w="2884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证据边界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近端可插拔</w:t>
            </w:r>
          </w:p>
        </w:tc>
        <w:tc>
          <w:tcPr>
            <w:tcW w:type="dxa" w:w="3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中际旭创、新易盛</w:t>
            </w:r>
          </w:p>
        </w:tc>
        <w:tc>
          <w:tcPr>
            <w:tcW w:type="dxa" w:w="18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至少 1 只</w:t>
            </w:r>
          </w:p>
        </w:tc>
        <w:tc>
          <w:tcPr>
            <w:tcW w:type="dxa" w:w="28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1.6T/可插拔暴露；不自动等于 CPO 受益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混合型</w:t>
            </w:r>
          </w:p>
        </w:tc>
        <w:tc>
          <w:tcPr>
            <w:tcW w:type="dxa" w:w="3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光迅科技</w:t>
            </w:r>
          </w:p>
        </w:tc>
        <w:tc>
          <w:tcPr>
            <w:tcW w:type="dxa" w:w="18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不计两类最低数量</w:t>
            </w:r>
          </w:p>
        </w:tc>
        <w:tc>
          <w:tcPr>
            <w:tcW w:type="dxa" w:w="28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多环节业务只能指定一个主环节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潜在结构</w:t>
            </w:r>
          </w:p>
        </w:tc>
        <w:tc>
          <w:tcPr>
            <w:tcW w:type="dxa" w:w="3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天孚、太辰、源杰、AVGO、NVDA、MRVL、COHR、LITE</w:t>
            </w:r>
          </w:p>
        </w:tc>
        <w:tc>
          <w:tcPr>
            <w:tcW w:type="dxa" w:w="18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至少 2 只不同标的</w:t>
            </w:r>
          </w:p>
        </w:tc>
        <w:tc>
          <w:tcPr>
            <w:tcW w:type="dxa" w:w="28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表示机制期权，不代表订单或已兑现收入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邻近环节</w:t>
            </w:r>
          </w:p>
        </w:tc>
        <w:tc>
          <w:tcPr>
            <w:tcW w:type="dxa" w:w="3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CIEN、FN</w:t>
            </w:r>
          </w:p>
        </w:tc>
        <w:tc>
          <w:tcPr>
            <w:tcW w:type="dxa" w:w="18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不计结构最低数量</w:t>
            </w:r>
          </w:p>
        </w:tc>
        <w:tc>
          <w:tcPr>
            <w:tcW w:type="dxa" w:w="28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泛 DCI/代工暴露不能替代 CPO 证据</w:t>
            </w:r>
          </w:p>
        </w:tc>
      </w:tr>
    </w:tbl>
    <w:p>
      <w:pPr>
        <w:spacing w:before="0" w:after="20"/>
      </w:pP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04  PORTFOLIO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组合构建</w:t>
      </w:r>
    </w:p>
    <w:p>
      <w:pPr>
        <w:keepNext w:val="0"/>
        <w:spacing w:before="0" w:after="100" w:line="252" w:lineRule="auto"/>
        <w:jc w:val="left"/>
        <w:shd w:fill="E7F3F4"/>
        <w:ind w:left="100" w:right="10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风险预算。</w:t>
      </w:r>
      <w:r>
        <w:rPr>
          <w:rFonts w:ascii="Calibri" w:hAnsi="Calibri" w:eastAsia="Microsoft YaHei" w:cs="Calibri"/>
          <w:b w:val="0"/>
          <w:i w:val="0"/>
          <w:color w:val="163A5F"/>
          <w:sz w:val="20"/>
        </w:rPr>
        <w:t>以 24% 近端可插拔捕捉 1.6T 现金流，以 76% 潜在结构暴露分散至光引擎器件、ELS、交换 ASIC 与 XPU 网络平台。权重表达证据与集中度，而非目标价。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450"/>
        <w:gridCol w:w="1650"/>
        <w:gridCol w:w="1350"/>
        <w:gridCol w:w="850"/>
        <w:gridCol w:w="2550"/>
        <w:gridCol w:w="2184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标的</w:t>
            </w:r>
          </w:p>
        </w:tc>
        <w:tc>
          <w:tcPr>
            <w:tcW w:type="dxa" w:w="16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唯一主环节</w:t>
            </w:r>
          </w:p>
        </w:tc>
        <w:tc>
          <w:tcPr>
            <w:tcW w:type="dxa" w:w="13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类型</w:t>
            </w:r>
          </w:p>
        </w:tc>
        <w:tc>
          <w:tcPr>
            <w:tcW w:type="dxa" w:w="8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权重</w:t>
            </w:r>
          </w:p>
        </w:tc>
        <w:tc>
          <w:tcPr>
            <w:tcW w:type="dxa" w:w="25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配置理由</w:t>
            </w:r>
          </w:p>
        </w:tc>
        <w:tc>
          <w:tcPr>
            <w:tcW w:type="dxa" w:w="218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首要验证 KPI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中际旭创</w:t>
              <w:br/>
              <w:t>300308.SZ</w:t>
            </w:r>
          </w:p>
        </w:tc>
        <w:tc>
          <w:tcPr>
            <w:tcW w:type="dxa" w:w="16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高速可插拔模块</w:t>
            </w:r>
          </w:p>
        </w:tc>
        <w:tc>
          <w:tcPr>
            <w:tcW w:type="dxa" w:w="13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近端可插拔</w:t>
            </w:r>
          </w:p>
        </w:tc>
        <w:tc>
          <w:tcPr>
            <w:tcW w:type="dxa" w:w="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24%</w:t>
            </w:r>
          </w:p>
        </w:tc>
        <w:tc>
          <w:tcPr>
            <w:tcW w:type="dxa" w:w="25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兑现；同时保留替代折价</w:t>
            </w:r>
          </w:p>
        </w:tc>
        <w:tc>
          <w:tcPr>
            <w:tcW w:type="dxa" w:w="21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出货、可插拔份额、认证阶段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天孚通信</w:t>
              <w:br/>
              <w:t>300394.SZ</w:t>
            </w:r>
          </w:p>
        </w:tc>
        <w:tc>
          <w:tcPr>
            <w:tcW w:type="dxa" w:w="16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光引擎/精密器件</w:t>
            </w:r>
          </w:p>
        </w:tc>
        <w:tc>
          <w:tcPr>
            <w:tcW w:type="dxa" w:w="13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潜在结构</w:t>
            </w:r>
          </w:p>
        </w:tc>
        <w:tc>
          <w:tcPr>
            <w:tcW w:type="dxa" w:w="8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22%</w:t>
            </w:r>
          </w:p>
        </w:tc>
        <w:tc>
          <w:tcPr>
            <w:tcW w:type="dxa" w:w="25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高精度器件与组装的机制清晰</w:t>
            </w:r>
          </w:p>
        </w:tc>
        <w:tc>
          <w:tcPr>
            <w:tcW w:type="dxa" w:w="21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设计导入、良率、小批证据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源杰科技</w:t>
              <w:br/>
              <w:t>688498.SH</w:t>
            </w:r>
          </w:p>
        </w:tc>
        <w:tc>
          <w:tcPr>
            <w:tcW w:type="dxa" w:w="16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光芯片/ELS</w:t>
            </w:r>
          </w:p>
        </w:tc>
        <w:tc>
          <w:tcPr>
            <w:tcW w:type="dxa" w:w="13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潜在结构</w:t>
            </w:r>
          </w:p>
        </w:tc>
        <w:tc>
          <w:tcPr>
            <w:tcW w:type="dxa" w:w="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14%</w:t>
            </w:r>
          </w:p>
        </w:tc>
        <w:tc>
          <w:tcPr>
            <w:tcW w:type="dxa" w:w="25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外置光源期权；小基数控制仓位</w:t>
            </w:r>
          </w:p>
        </w:tc>
        <w:tc>
          <w:tcPr>
            <w:tcW w:type="dxa" w:w="21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ELS 设计采用、样品→小批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Broadcom</w:t>
              <w:br/>
              <w:t>AVGO</w:t>
            </w:r>
          </w:p>
        </w:tc>
        <w:tc>
          <w:tcPr>
            <w:tcW w:type="dxa" w:w="16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交换 ASIC/光 DSP</w:t>
            </w:r>
          </w:p>
        </w:tc>
        <w:tc>
          <w:tcPr>
            <w:tcW w:type="dxa" w:w="13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潜在结构</w:t>
            </w:r>
          </w:p>
        </w:tc>
        <w:tc>
          <w:tcPr>
            <w:tcW w:type="dxa" w:w="8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24%</w:t>
            </w:r>
          </w:p>
        </w:tc>
        <w:tc>
          <w:tcPr>
            <w:tcW w:type="dxa" w:w="25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平台与 DSP 壁垒；公司财务可验证</w:t>
            </w:r>
          </w:p>
        </w:tc>
        <w:tc>
          <w:tcPr>
            <w:tcW w:type="dxa" w:w="21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102.4T/CPO 端口部署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NVIDIA</w:t>
              <w:br/>
              <w:t>NVDA</w:t>
            </w:r>
          </w:p>
        </w:tc>
        <w:tc>
          <w:tcPr>
            <w:tcW w:type="dxa" w:w="16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XPU/网络平台</w:t>
            </w:r>
          </w:p>
        </w:tc>
        <w:tc>
          <w:tcPr>
            <w:tcW w:type="dxa" w:w="13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潜在结构</w:t>
            </w:r>
          </w:p>
        </w:tc>
        <w:tc>
          <w:tcPr>
            <w:tcW w:type="dxa" w:w="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16%</w:t>
            </w:r>
          </w:p>
        </w:tc>
        <w:tc>
          <w:tcPr>
            <w:tcW w:type="dxa" w:w="25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scale-up 与网络定义能力；控制高基数风险</w:t>
            </w:r>
          </w:p>
        </w:tc>
        <w:tc>
          <w:tcPr>
            <w:tcW w:type="dxa" w:w="21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平台部署、网络收入、光架构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合计</w:t>
            </w:r>
          </w:p>
        </w:tc>
        <w:tc>
          <w:tcPr>
            <w:tcW w:type="dxa" w:w="1650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4 个唯一主环节</w:t>
            </w:r>
          </w:p>
        </w:tc>
        <w:tc>
          <w:tcPr>
            <w:tcW w:type="dxa" w:w="1350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1 近端 + 4 结构</w:t>
            </w:r>
          </w:p>
        </w:tc>
        <w:tc>
          <w:tcPr>
            <w:tcW w:type="dxa" w:w="850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100%</w:t>
            </w:r>
          </w:p>
        </w:tc>
        <w:tc>
          <w:tcPr>
            <w:tcW w:type="dxa" w:w="2550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单只最高 24%；无港股/ADR 比例硬要求</w:t>
            </w:r>
          </w:p>
        </w:tc>
        <w:tc>
          <w:tcPr>
            <w:tcW w:type="dxa" w:w="2184"/>
            <w:shd w:fill="E7F3F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1F2933"/>
                <w:sz w:val="14"/>
              </w:rPr>
              <w:t>按情景触发再平衡</w:t>
            </w:r>
          </w:p>
        </w:tc>
      </w:tr>
    </w:tbl>
    <w:p>
      <w:pPr>
        <w:spacing w:before="0" w:after="20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客观约束检查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2500"/>
        <w:gridCol w:w="5034"/>
        <w:gridCol w:w="2500"/>
      </w:tblGrid>
      <w:tr>
        <w:trPr>
          <w:trHeight w:hRule="atLeast"/>
          <w:tblHeader w:val="true"/>
          <w:cantSplit/>
        </w:trPr>
        <w:tc>
          <w:tcPr>
            <w:tcW w:type="dxa" w:w="25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约束</w:t>
            </w:r>
          </w:p>
        </w:tc>
        <w:tc>
          <w:tcPr>
            <w:tcW w:type="dxa" w:w="5034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结果</w:t>
            </w:r>
          </w:p>
        </w:tc>
        <w:tc>
          <w:tcPr>
            <w:tcW w:type="dxa" w:w="25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判定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股票数量</w:t>
            </w:r>
          </w:p>
        </w:tc>
        <w:tc>
          <w:tcPr>
            <w:tcW w:type="dxa" w:w="50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5 只，全部来自附件 06</w:t>
            </w:r>
          </w:p>
        </w:tc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通过（4-6）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主环节覆盖</w:t>
            </w:r>
          </w:p>
        </w:tc>
        <w:tc>
          <w:tcPr>
            <w:tcW w:type="dxa" w:w="50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模块/器件/ELS/ASIC-XPU，共 4 个</w:t>
            </w:r>
          </w:p>
        </w:tc>
        <w:tc>
          <w:tcPr>
            <w:tcW w:type="dxa" w:w="25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通过（≥3）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受益类型</w:t>
            </w:r>
          </w:p>
        </w:tc>
        <w:tc>
          <w:tcPr>
            <w:tcW w:type="dxa" w:w="503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近端可插拔 1 只；潜在结构 4 只</w:t>
            </w:r>
          </w:p>
        </w:tc>
        <w:tc>
          <w:tcPr>
            <w:tcW w:type="dxa" w:w="25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通过（≥1 / ≥2）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集中度</w:t>
            </w:r>
          </w:p>
        </w:tc>
        <w:tc>
          <w:tcPr>
            <w:tcW w:type="dxa" w:w="503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权重合计 100%；单只最高 24%</w:t>
            </w:r>
          </w:p>
        </w:tc>
        <w:tc>
          <w:tcPr>
            <w:tcW w:type="dxa" w:w="25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通过（≤30%）</w:t>
            </w:r>
          </w:p>
        </w:tc>
      </w:tr>
    </w:tbl>
    <w:p>
      <w:pPr>
        <w:spacing w:before="0" w:after="20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为何不按市场强制配比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附件没有港股候选。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因此本题不要求 A 股为主、必须含港股或必须含 ADR；市场分布由机制、数据质量和集中度共同决定。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为何不选 TSM/ASE。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它们曾出现在旧版答案，但不在新版附件 06 的可选池，且没有同口径财务画像；v2 组合明确排除。</w:t>
      </w:r>
    </w:p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637381"/>
          <w:sz w:val="17"/>
        </w:rPr>
        <w:t>为何只选一只模块商。</w:t>
      </w:r>
      <w:r>
        <w:rPr>
          <w:rFonts w:ascii="Calibri" w:hAnsi="Calibri" w:eastAsia="Microsoft YaHei" w:cs="Calibri"/>
          <w:b w:val="0"/>
          <w:i w:val="0"/>
          <w:color w:val="637381"/>
          <w:sz w:val="17"/>
        </w:rPr>
        <w:t>中际与新易盛的近端暴露高度相似；在 30% 单名上限下，选择一只可降低重复因子并腾出结构验证仓位。选择新易盛替代中际也可成立，只要论证一致。</w:t>
      </w: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05  NAME-LEVEL THESES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逐股五要素：A 股</w:t>
      </w:r>
    </w:p>
    <w:p>
      <w:pPr>
        <w:keepNext w:val="0"/>
        <w:spacing w:before="0" w:after="80" w:line="252" w:lineRule="auto"/>
        <w:jc w:val="left"/>
        <w:shd w:fill="FBF4DF"/>
        <w:ind w:left="100" w:right="100"/>
      </w:pPr>
      <w:r>
        <w:rPr>
          <w:rFonts w:ascii="Calibri" w:hAnsi="Calibri" w:eastAsia="Microsoft YaHei" w:cs="Calibri"/>
          <w:b/>
          <w:i w:val="0"/>
          <w:color w:val="8A4B00"/>
          <w:sz w:val="17"/>
        </w:rPr>
        <w:t>估值纪律。</w:t>
      </w:r>
      <w:r>
        <w:rPr>
          <w:rFonts w:ascii="Calibri" w:hAnsi="Calibri" w:eastAsia="Microsoft YaHei" w:cs="Calibri"/>
          <w:b w:val="0"/>
          <w:i w:val="0"/>
          <w:color w:val="8A4B00"/>
          <w:sz w:val="17"/>
        </w:rPr>
        <w:t>附件没有统一时点的股价、EPS、EV、PE 或一致预期；本页只用收入增速、毛利率和同环节财务作相对锚，并明确数据限制。</w:t>
      </w:r>
    </w:p>
    <w:p>
      <w:pPr>
        <w:keepNext/>
        <w:spacing w:before="60" w:after="4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中际旭创 300308.SZ  |  24%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定位/类型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高速可插拔光模块；近端可插拔受益者。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逻辑/证据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800G 领先、1.6T 送样/爬坡及北美生态概括；均不等于具体客户订单或份额。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估值锚/限制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2024 收入 RMB 23.862bn、同比 +122.6%、毛利率 33.3%；附件无即时 PE/目标价。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催化剂/窗口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2025-2026 1.6T 放量、海外交付；证据应从送样升级到可核验出货。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反方/风险/KPI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CPO 或 LPO 提前替代；跟踪 1.6T 出货、可插拔份额、认证层级和毛利率。</w:t>
      </w:r>
    </w:p>
    <w:p>
      <w:pPr>
        <w:spacing w:before="0" w:after="20"/>
        <w:shd w:fill="EAF0F6"/>
      </w:pPr>
    </w:p>
    <w:p>
      <w:pPr>
        <w:keepNext/>
        <w:spacing w:before="60" w:after="4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天孚通信 300394.SZ  |  22%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定位/类型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光引擎与精密无源/有源器件；潜在 CPO 结构受益。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逻辑/证据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硅光/CPO 对高精度器件、耦合与组装的需求机制清晰；附件无 CPO 订单。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估值锚/限制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2024 收入 RMB 3.377bn、同比 +74.5%、毛利率 54.0%；高毛利是相对锚，倍数未提供。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催化剂/窗口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新设计导入、组装良率改善；2026-2028+ 随采用证据逐级升级。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反方/风险/KPI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采用延迟、估值压缩；跟踪设计导入、小批供货、良率和客户认证。</w:t>
      </w:r>
    </w:p>
    <w:p>
      <w:pPr>
        <w:spacing w:before="0" w:after="20"/>
        <w:shd w:fill="EAF0F6"/>
      </w:pPr>
    </w:p>
    <w:p>
      <w:pPr>
        <w:keepNext/>
        <w:spacing w:before="60" w:after="4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源杰科技 688498.SH  |  14%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定位/类型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CW/DFB、EML 光芯片与外置光源 ELS；潜在 CPO 结构受益。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逻辑/证据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ELS 路径使 CW-DFB 成为独立可维护环节；是架构期权，不是已确认订单。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估值锚/限制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2024 收入 RMB 0.309bn、同比 +111.6%、毛利率 40.0%；小基数提高弹性与风险。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催化剂/窗口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数通光源验证升级、样品转小批；时间与 CPO/硅光采用相关。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反方/风险/KPI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技术路线变化、验证延迟；跟踪 ELS 设计采用、样品→小批→订单证据。</w:t>
      </w:r>
    </w:p>
    <w:p>
      <w:pPr>
        <w:spacing w:before="0" w:after="20"/>
        <w:shd w:fill="EAF0F6"/>
      </w:pP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03；A 股数据为 best-effort/reconfirm against filings，不是实时机器验证。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5"/>
      </w:r>
    </w:p>
    <w:p>
      <w:pPr>
        <w:spacing w:before="40" w:after="60" w:line="240" w:lineRule="auto"/>
      </w:pPr>
      <w:r>
        <w:rPr>
          <w:rFonts w:ascii="Calibri" w:hAnsi="Calibri" w:eastAsia="Microsoft YaHei" w:cs="Calibri"/>
          <w:b w:val="0"/>
          <w:i/>
          <w:color w:val="637381"/>
          <w:sz w:val="14"/>
        </w:rPr>
        <w:t>来源：文件 06；客户/产能是公开概括，详细客户、份额、产能和订单均待公告核验。</w:t>
      </w:r>
      <w:r>
        <w:rPr>
          <w:rFonts w:ascii="Calibri" w:hAnsi="Calibri" w:eastAsia="Microsoft YaHei" w:cs="Calibri"/>
          <w:b w:val="0"/>
          <w:i w:val="0"/>
          <w:color w:val="637381"/>
          <w:sz w:val="14"/>
        </w:rPr>
        <w:t/>
      </w:r>
      <w:r>
        <w:footnoteReference w:id="6"/>
      </w: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06  NAME-LEVEL THESES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逐股五要素：美股平台</w:t>
      </w:r>
    </w:p>
    <w:p>
      <w:pPr>
        <w:keepNext/>
        <w:spacing w:before="60" w:after="4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Broadcom AVGO  |  24%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定位/类型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交换 ASIC、光 DSP 与定制 ASIC；潜在 CPO 结构受益。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逻辑/证据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Tomahawk 5/6 与 Bailly 显示平台路线；产品里程碑不自动等于客户合同。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估值锚/限制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FY2024 收入 USD 51.574bn、毛利率 63.0%、同比 +44.0%；附件无当前倍数。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催化剂/窗口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102.4T 交换、CPO 端口部署、定制 ASIC；以 2026-2028+ 证据为准。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反方/风险/KPI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capex 见顶、采用节奏与封装约束；跟踪平台部署、CPO ports 和网络收入。</w:t>
      </w:r>
    </w:p>
    <w:p>
      <w:pPr>
        <w:spacing w:before="0" w:after="20"/>
        <w:shd w:fill="EAF0F6"/>
      </w:pPr>
    </w:p>
    <w:p>
      <w:pPr>
        <w:keepNext/>
        <w:spacing w:before="60" w:after="40"/>
      </w:pPr>
      <w:r>
        <w:rPr>
          <w:rFonts w:ascii="Calibri" w:hAnsi="Calibri" w:eastAsia="Microsoft YaHei" w:cs="Calibri"/>
          <w:b/>
          <w:i w:val="0"/>
          <w:color w:val="163A5F"/>
          <w:sz w:val="20"/>
        </w:rPr>
        <w:t>NVIDIA NVDA  |  16%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定位/类型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XPU 与网络平台；潜在 CPO 结构受益。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逻辑/证据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Quantum-X/Spectrum-X photonics 显示平台方向；不能推导本题其他供应商订单。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估值锚/限制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FY2024 收入 USD 60.922bn、毛利率 72.7%、同比 +125.9%；附件无当前估值。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催化剂/窗口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scale-up 网络、硅光平台和 AI 集群扩张；以实际部署而非发布会为证。</w:t>
      </w:r>
    </w:p>
    <w:p>
      <w:pPr>
        <w:keepNext w:val="0"/>
        <w:spacing w:before="0" w:after="32" w:line="240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6"/>
        </w:rPr>
        <w:t xml:space="preserve">反方/风险/KPI  </w:t>
      </w:r>
      <w:r>
        <w:rPr>
          <w:rFonts w:ascii="Calibri" w:hAnsi="Calibri" w:eastAsia="Microsoft YaHei" w:cs="Calibri"/>
          <w:b w:val="0"/>
          <w:i w:val="0"/>
          <w:color w:val="1F2933"/>
          <w:sz w:val="16"/>
        </w:rPr>
        <w:t>高基数、capex 集中和替代架构；跟踪平台部署、网络收入与光互连架构。</w:t>
      </w:r>
    </w:p>
    <w:p>
      <w:pPr>
        <w:spacing w:before="0" w:after="20"/>
        <w:shd w:fill="EAF0F6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组合验证仪表盘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850"/>
        <w:gridCol w:w="2600"/>
        <w:gridCol w:w="1950"/>
        <w:gridCol w:w="1950"/>
        <w:gridCol w:w="1684"/>
      </w:tblGrid>
      <w:tr>
        <w:trPr>
          <w:trHeight w:hRule="atLeast"/>
          <w:tblHeader w:val="true"/>
          <w:cantSplit/>
        </w:trPr>
        <w:tc>
          <w:tcPr>
            <w:tcW w:type="dxa" w:w="18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监测变量</w:t>
            </w:r>
          </w:p>
        </w:tc>
        <w:tc>
          <w:tcPr>
            <w:tcW w:type="dxa" w:w="26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附件基准/当前证据</w:t>
            </w:r>
          </w:p>
        </w:tc>
        <w:tc>
          <w:tcPr>
            <w:tcW w:type="dxa" w:w="19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验证升级</w:t>
            </w:r>
          </w:p>
        </w:tc>
        <w:tc>
          <w:tcPr>
            <w:tcW w:type="dxa" w:w="19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失效条件</w:t>
            </w:r>
          </w:p>
        </w:tc>
        <w:tc>
          <w:tcPr>
            <w:tcW w:type="dxa" w:w="168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组合动作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四家公司 capex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FY2025 USD 357.508bn；公司总 capex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网络/AI 支出披露增强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增速连续回落且网络支出弱</w:t>
            </w:r>
          </w:p>
        </w:tc>
        <w:tc>
          <w:tcPr>
            <w:tcW w:type="dxa" w:w="16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降总风险预算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出货</w:t>
            </w:r>
          </w:p>
        </w:tc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2026e 约 12m（第三方）</w:t>
            </w:r>
          </w:p>
        </w:tc>
        <w:tc>
          <w:tcPr>
            <w:tcW w:type="dxa" w:w="19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可核验出货/收入兑现</w:t>
            </w:r>
          </w:p>
        </w:tc>
        <w:tc>
          <w:tcPr>
            <w:tcW w:type="dxa" w:w="19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明显低于路径</w:t>
            </w:r>
          </w:p>
        </w:tc>
        <w:tc>
          <w:tcPr>
            <w:tcW w:type="dxa" w:w="16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降模块并审视全链需求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ports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2026e 2m；2027e 8m（第三方）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验证→量产→端口部署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持续低于路径/可靠性差</w:t>
            </w:r>
          </w:p>
        </w:tc>
        <w:tc>
          <w:tcPr>
            <w:tcW w:type="dxa" w:w="16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下调结构期权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可插拔份额</w:t>
            </w:r>
          </w:p>
        </w:tc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2026e 约 90%；2027e 约 78%</w:t>
            </w:r>
          </w:p>
        </w:tc>
        <w:tc>
          <w:tcPr>
            <w:tcW w:type="dxa" w:w="19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份额下降与 CPO 同步</w:t>
            </w:r>
          </w:p>
        </w:tc>
        <w:tc>
          <w:tcPr>
            <w:tcW w:type="dxa" w:w="19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LPO 延长可插拔生命周期</w:t>
            </w:r>
          </w:p>
        </w:tc>
        <w:tc>
          <w:tcPr>
            <w:tcW w:type="dxa" w:w="16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在近端/结构间再平衡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证据阶段</w:t>
            </w:r>
          </w:p>
        </w:tc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多为路线、生态、验证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合同/订单/收入可核验</w:t>
            </w:r>
          </w:p>
        </w:tc>
        <w:tc>
          <w:tcPr>
            <w:tcW w:type="dxa" w:w="19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措辞长期不升级</w:t>
            </w:r>
          </w:p>
        </w:tc>
        <w:tc>
          <w:tcPr>
            <w:tcW w:type="dxa" w:w="16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不给确定性估值溢价</w:t>
            </w:r>
          </w:p>
        </w:tc>
      </w:tr>
    </w:tbl>
    <w:p>
      <w:pPr>
        <w:spacing w:before="0" w:after="20"/>
      </w:pPr>
    </w:p>
    <w:p>
      <w:pPr>
        <w:keepNext w:val="0"/>
        <w:spacing w:before="0" w:after="0" w:line="252" w:lineRule="auto"/>
        <w:jc w:val="left"/>
        <w:shd w:fill="EAF0F6"/>
        <w:ind w:left="100" w:right="100"/>
      </w:pPr>
      <w:r>
        <w:rPr>
          <w:rFonts w:ascii="Calibri" w:hAnsi="Calibri" w:eastAsia="Microsoft YaHei" w:cs="Calibri"/>
          <w:b/>
          <w:i w:val="0"/>
          <w:color w:val="163A5F"/>
          <w:sz w:val="17"/>
        </w:rPr>
        <w:t>再平衡纪律。</w:t>
      </w:r>
      <w:r>
        <w:rPr>
          <w:rFonts w:ascii="Calibri" w:hAnsi="Calibri" w:eastAsia="Microsoft YaHei" w:cs="Calibri"/>
          <w:b w:val="0"/>
          <w:i w:val="0"/>
          <w:color w:val="163A5F"/>
          <w:sz w:val="17"/>
        </w:rPr>
        <w:t>单个发布会或“合作生态”不触发加仓；至少一项可量化采用指标与一项公司级证据同时升级，才提高对应结构仓位。</w:t>
      </w: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平台暴露的反方压力测试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2600"/>
        <w:gridCol w:w="2800"/>
        <w:gridCol w:w="2850"/>
        <w:gridCol w:w="1784"/>
      </w:tblGrid>
      <w:tr>
        <w:trPr>
          <w:trHeight w:hRule="atLeast"/>
          <w:tblHeader w:val="true"/>
          <w:cantSplit/>
        </w:trPr>
        <w:tc>
          <w:tcPr>
            <w:tcW w:type="dxa" w:w="26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可能失效的假设</w:t>
            </w:r>
          </w:p>
        </w:tc>
        <w:tc>
          <w:tcPr>
            <w:tcW w:type="dxa" w:w="28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对 AVGO/NVDA 的影响</w:t>
            </w:r>
          </w:p>
        </w:tc>
        <w:tc>
          <w:tcPr>
            <w:tcW w:type="dxa" w:w="285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验证 KPI</w:t>
            </w:r>
          </w:p>
        </w:tc>
        <w:tc>
          <w:tcPr>
            <w:tcW w:type="dxa" w:w="1784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动作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总 capex 增长未转化为网络/光互连支出</w:t>
            </w:r>
          </w:p>
        </w:tc>
        <w:tc>
          <w:tcPr>
            <w:tcW w:type="dxa" w:w="28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主题相关性与收入弹性被高估</w:t>
            </w:r>
          </w:p>
        </w:tc>
        <w:tc>
          <w:tcPr>
            <w:tcW w:type="dxa" w:w="2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网络收入、端口部署、客户支出拆分</w:t>
            </w:r>
          </w:p>
        </w:tc>
        <w:tc>
          <w:tcPr>
            <w:tcW w:type="dxa" w:w="17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先降两只平台总权重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平台发布长期停留在路线图/验证</w:t>
            </w:r>
          </w:p>
        </w:tc>
        <w:tc>
          <w:tcPr>
            <w:tcW w:type="dxa" w:w="28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期权无法进入收入</w:t>
            </w:r>
          </w:p>
        </w:tc>
        <w:tc>
          <w:tcPr>
            <w:tcW w:type="dxa" w:w="28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验证→量产→订单/收入证据</w:t>
            </w:r>
          </w:p>
        </w:tc>
        <w:tc>
          <w:tcPr>
            <w:tcW w:type="dxa" w:w="17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不给 CPO 确定性溢价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LPO/铜互连等替代路线改善</w:t>
            </w:r>
          </w:p>
        </w:tc>
        <w:tc>
          <w:tcPr>
            <w:tcW w:type="dxa" w:w="28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采用时点后移</w:t>
            </w:r>
          </w:p>
        </w:tc>
        <w:tc>
          <w:tcPr>
            <w:tcW w:type="dxa" w:w="28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功耗、成本、可靠性与部署份额</w:t>
            </w:r>
          </w:p>
        </w:tc>
        <w:tc>
          <w:tcPr>
            <w:tcW w:type="dxa" w:w="17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回到近端/结构均衡</w:t>
            </w:r>
          </w:p>
        </w:tc>
      </w:tr>
    </w:tbl>
    <w:p>
      <w:pPr>
        <w:spacing w:before="0" w:after="20"/>
      </w:pPr>
    </w:p>
    <w:p>
      <w:pPr>
        <w:spacing w:before="0" w:after="0"/>
      </w:pPr>
      <w:r>
        <w:br w:type="page"/>
      </w:r>
    </w:p>
    <w:p>
      <w:pPr>
        <w:keepNext/>
        <w:spacing w:before="0" w:after="2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0C7C86"/>
          <w:sz w:val="15"/>
        </w:rPr>
        <w:t>07  CATALYSTS, RISKS &amp; SOURCES</w:t>
      </w:r>
    </w:p>
    <w:p>
      <w:pPr>
        <w:pStyle w:val="Heading1"/>
        <w:keepNext/>
      </w:pPr>
      <w:r>
        <w:rPr>
          <w:rFonts w:ascii="Calibri" w:hAnsi="Calibri" w:eastAsia="Microsoft YaHei" w:cs="Calibri"/>
          <w:b/>
          <w:i w:val="0"/>
          <w:color w:val="163A5F"/>
          <w:sz w:val="28"/>
        </w:rPr>
        <w:t>催化剂/风险矩阵与来源纪律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750"/>
        <w:gridCol w:w="2400"/>
        <w:gridCol w:w="2100"/>
        <w:gridCol w:w="2000"/>
        <w:gridCol w:w="1784"/>
      </w:tblGrid>
      <w:tr>
        <w:trPr>
          <w:trHeight w:hRule="atLeast"/>
          <w:tblHeader w:val="true"/>
          <w:cantSplit/>
        </w:trPr>
        <w:tc>
          <w:tcPr>
            <w:tcW w:type="dxa" w:w="175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事件</w:t>
            </w:r>
          </w:p>
        </w:tc>
        <w:tc>
          <w:tcPr>
            <w:tcW w:type="dxa" w:w="24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窗口/证据阶段</w:t>
            </w:r>
          </w:p>
        </w:tc>
        <w:tc>
          <w:tcPr>
            <w:tcW w:type="dxa" w:w="21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方向与暴露</w:t>
            </w:r>
          </w:p>
        </w:tc>
        <w:tc>
          <w:tcPr>
            <w:tcW w:type="dxa" w:w="2000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监测指标</w:t>
            </w:r>
          </w:p>
        </w:tc>
        <w:tc>
          <w:tcPr>
            <w:tcW w:type="dxa" w:w="1784"/>
            <w:shd w:fill="163A5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4"/>
              </w:rPr>
              <w:t>组合应对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1.6T 放量</w:t>
            </w:r>
          </w:p>
        </w:tc>
        <w:tc>
          <w:tcPr>
            <w:tcW w:type="dxa" w:w="2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2025-2026；出货爬坡</w:t>
            </w:r>
          </w:p>
        </w:tc>
        <w:tc>
          <w:tcPr>
            <w:tcW w:type="dxa" w:w="2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利好中际；验证总需求</w:t>
            </w:r>
          </w:p>
        </w:tc>
        <w:tc>
          <w:tcPr>
            <w:tcW w:type="dxa" w:w="2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12m 路径、收入/毛利</w:t>
            </w:r>
          </w:p>
        </w:tc>
        <w:tc>
          <w:tcPr>
            <w:tcW w:type="dxa" w:w="17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达标维持；低于路径降近端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CPO 认证转量产</w:t>
            </w:r>
          </w:p>
        </w:tc>
        <w:tc>
          <w:tcPr>
            <w:tcW w:type="dxa" w:w="24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2026-2028+；当前多为路线/验证</w:t>
            </w:r>
          </w:p>
        </w:tc>
        <w:tc>
          <w:tcPr>
            <w:tcW w:type="dxa" w:w="21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利好结构；可能压制纯模块</w:t>
            </w:r>
          </w:p>
        </w:tc>
        <w:tc>
          <w:tcPr>
            <w:tcW w:type="dxa" w:w="20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ports、良率、现场可靠性</w:t>
            </w:r>
          </w:p>
        </w:tc>
        <w:tc>
          <w:tcPr>
            <w:tcW w:type="dxa" w:w="17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只有证据升级才增结构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云厂 capex 变速</w:t>
            </w:r>
          </w:p>
        </w:tc>
        <w:tc>
          <w:tcPr>
            <w:tcW w:type="dxa" w:w="2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每季/每年；公司总 capex</w:t>
            </w:r>
          </w:p>
        </w:tc>
        <w:tc>
          <w:tcPr>
            <w:tcW w:type="dxa" w:w="2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全组合需求/估值风险</w:t>
            </w:r>
          </w:p>
        </w:tc>
        <w:tc>
          <w:tcPr>
            <w:tcW w:type="dxa" w:w="2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四家公司斜率、网络披露</w:t>
            </w:r>
          </w:p>
        </w:tc>
        <w:tc>
          <w:tcPr>
            <w:tcW w:type="dxa" w:w="17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连续弱化则降总仓位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LPO/LRO 改善</w:t>
            </w:r>
          </w:p>
        </w:tc>
        <w:tc>
          <w:tcPr>
            <w:tcW w:type="dxa" w:w="24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2025-2027；替代路线</w:t>
            </w:r>
          </w:p>
        </w:tc>
        <w:tc>
          <w:tcPr>
            <w:tcW w:type="dxa" w:w="21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延后 CPO、延长可插拔</w:t>
            </w:r>
          </w:p>
        </w:tc>
        <w:tc>
          <w:tcPr>
            <w:tcW w:type="dxa" w:w="20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功耗、标准、部署份额</w:t>
            </w:r>
          </w:p>
        </w:tc>
        <w:tc>
          <w:tcPr>
            <w:tcW w:type="dxa" w:w="17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结构降档，保留近端模块</w:t>
            </w:r>
          </w:p>
        </w:tc>
      </w:tr>
      <w:tr>
        <w:trPr>
          <w:cantSplit/>
          <w:trHeight w:hRule="atLeast"/>
        </w:trPr>
        <w:tc>
          <w:tcPr>
            <w:tcW w:type="dxa" w:w="17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证据措辞升级</w:t>
            </w:r>
          </w:p>
        </w:tc>
        <w:tc>
          <w:tcPr>
            <w:tcW w:type="dxa" w:w="24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持续；送样→认证→小批→订单</w:t>
            </w:r>
          </w:p>
        </w:tc>
        <w:tc>
          <w:tcPr>
            <w:tcW w:type="dxa" w:w="21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决定收入可见度</w:t>
            </w:r>
          </w:p>
        </w:tc>
        <w:tc>
          <w:tcPr>
            <w:tcW w:type="dxa" w:w="20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合同/出货/收入证据</w:t>
            </w:r>
          </w:p>
        </w:tc>
        <w:tc>
          <w:tcPr>
            <w:tcW w:type="dxa" w:w="17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4"/>
              </w:rPr>
              <w:t>不以生态合作替代订单</w:t>
            </w:r>
          </w:p>
        </w:tc>
      </w:tr>
    </w:tbl>
    <w:p>
      <w:pPr>
        <w:spacing w:before="0" w:after="20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证据等级与引用规则</w:t>
      </w:r>
    </w:p>
    <w:tbl>
      <w:tblPr>
        <w:tblStyle w:val="TableGrid"/>
        <w:tblW w:type="dxa" w:w="10034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</w:tblPr>
      <w:tblGrid>
        <w:gridCol w:w="1450"/>
        <w:gridCol w:w="2200"/>
        <w:gridCol w:w="3200"/>
        <w:gridCol w:w="3184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等级</w:t>
            </w:r>
          </w:p>
        </w:tc>
        <w:tc>
          <w:tcPr>
            <w:tcW w:type="dxa" w:w="22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文件</w:t>
            </w:r>
          </w:p>
        </w:tc>
        <w:tc>
          <w:tcPr>
            <w:tcW w:type="dxa" w:w="3200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可用于</w:t>
            </w:r>
          </w:p>
        </w:tc>
        <w:tc>
          <w:tcPr>
            <w:tcW w:type="dxa" w:w="3184"/>
            <w:shd w:fill="0C7C8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/>
                <w:i w:val="0"/>
                <w:color w:val="FFFFFF"/>
                <w:sz w:val="15"/>
              </w:rPr>
              <w:t>不得用于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A｜一手可验证</w:t>
            </w:r>
          </w:p>
        </w:tc>
        <w:tc>
          <w:tcPr>
            <w:tcW w:type="dxa" w:w="2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01/02 SEC companyfacts</w:t>
            </w:r>
          </w:p>
        </w:tc>
        <w:tc>
          <w:tcPr>
            <w:tcW w:type="dxa" w:w="3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公司总 capex、公司级财务</w:t>
            </w:r>
          </w:p>
        </w:tc>
        <w:tc>
          <w:tcPr>
            <w:tcW w:type="dxa" w:w="31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AI 专属 capex、CPO 分部收入、统一财年比较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B｜待复核</w:t>
            </w:r>
          </w:p>
        </w:tc>
        <w:tc>
          <w:tcPr>
            <w:tcW w:type="dxa" w:w="2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03 A 股 best-effort</w:t>
            </w:r>
          </w:p>
        </w:tc>
        <w:tc>
          <w:tcPr>
            <w:tcW w:type="dxa" w:w="3200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冻结表内相对增长/毛利锚</w:t>
            </w:r>
          </w:p>
        </w:tc>
        <w:tc>
          <w:tcPr>
            <w:tcW w:type="dxa" w:w="3184"/>
            <w:shd w:fill="F2F5F7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声称已实时核验、即时 PE/目标价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C｜估计/背景</w:t>
            </w:r>
          </w:p>
        </w:tc>
        <w:tc>
          <w:tcPr>
            <w:tcW w:type="dxa" w:w="2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04/05/06</w:t>
            </w:r>
          </w:p>
        </w:tc>
        <w:tc>
          <w:tcPr>
            <w:tcW w:type="dxa" w:w="3200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情景、路线、机制、候选池画像</w:t>
            </w:r>
          </w:p>
        </w:tc>
        <w:tc>
          <w:tcPr>
            <w:tcW w:type="dxa" w:w="3184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 w:cs="Calibri"/>
                <w:b w:val="0"/>
                <w:i w:val="0"/>
                <w:color w:val="1F2933"/>
                <w:sz w:val="15"/>
              </w:rPr>
              <w:t>一手事实、订单、合同、确定性收入</w:t>
            </w:r>
          </w:p>
        </w:tc>
      </w:tr>
    </w:tbl>
    <w:p>
      <w:pPr>
        <w:spacing w:before="0" w:after="20"/>
      </w:pPr>
    </w:p>
    <w:p>
      <w:pPr>
        <w:pStyle w:val="Heading2"/>
        <w:keepNext/>
      </w:pPr>
      <w:r>
        <w:rPr>
          <w:rFonts w:ascii="Calibri" w:hAnsi="Calibri" w:eastAsia="Microsoft YaHei" w:cs="Calibri"/>
          <w:b/>
          <w:i w:val="0"/>
          <w:color w:val="163A5F"/>
          <w:sz w:val="23"/>
        </w:rPr>
        <w:t>来源脚注与方法声明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就近脚注。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表 1-2 对应文件 01/02；路线图与情景对应文件 04/05；A 股财务与公司画像对应文件 03/06。脚注随相关事实出现，而非只在文末罗列。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估值方法。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因附件无股价、EPS、EV、PE 或一致预期，报告不计算即时估值；使用增长、毛利、业务壁垒与同环节公司财务作为相对锚，并把缺口列为限制。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1F2933"/>
          <w:sz w:val="19"/>
        </w:rPr>
        <w:t>中立性。</w:t>
      </w:r>
      <w:r>
        <w:rPr>
          <w:rFonts w:ascii="Calibri" w:hAnsi="Calibri" w:eastAsia="Microsoft YaHei" w:cs="Calibri"/>
          <w:b w:val="0"/>
          <w:i w:val="0"/>
          <w:color w:val="1F2933"/>
          <w:sz w:val="19"/>
        </w:rPr>
        <w:t>本示例的 5 只组合不是评分目标。只要使用池内 4-6 只、满足集中度/覆盖要求，并用附件证据、反方证据和 KPI 支撑，其他方向与权重可同样成立。</w:t>
      </w:r>
    </w:p>
    <w:p>
      <w:pPr>
        <w:keepNext/>
        <w:spacing w:before="0" w:after="40" w:line="252" w:lineRule="auto"/>
        <w:jc w:val="left"/>
      </w:pPr>
      <w:r>
        <w:rPr>
          <w:rFonts w:ascii="Calibri" w:hAnsi="Calibri" w:eastAsia="Microsoft YaHei" w:cs="Calibri"/>
          <w:b/>
          <w:i w:val="0"/>
          <w:color w:val="8A4B00"/>
          <w:sz w:val="18"/>
        </w:rPr>
        <w:t>重要免责声明</w:t>
      </w:r>
    </w:p>
    <w:p>
      <w:pPr>
        <w:keepNext w:val="0"/>
        <w:spacing w:before="0" w:after="80" w:line="252" w:lineRule="auto"/>
        <w:jc w:val="left"/>
        <w:shd w:fill="FBF4DF"/>
        <w:ind w:left="100" w:right="100"/>
      </w:pPr>
      <w:r>
        <w:rPr>
          <w:rFonts w:ascii="Calibri" w:hAnsi="Calibri" w:eastAsia="Microsoft YaHei" w:cs="Calibri"/>
          <w:b w:val="0"/>
          <w:i w:val="0"/>
          <w:color w:val="637381"/>
          <w:sz w:val="16"/>
        </w:rPr>
        <w:t>本报告为冻结评测参考材料，不构成证券研究报告、投资建议、收益承诺或订单确认。市场预测来自第三方方向性估计；A 股财务需对公司年报复核；所有产品发布、生态和验证均按其证据阶段表述。</w:t>
      </w:r>
    </w:p>
    <w:p>
      <w:pPr>
        <w:keepNext w:val="0"/>
        <w:spacing w:before="0" w:after="0" w:line="252" w:lineRule="auto"/>
        <w:jc w:val="center"/>
      </w:pPr>
      <w:r>
        <w:rPr>
          <w:rFonts w:ascii="Calibri" w:hAnsi="Calibri" w:eastAsia="Microsoft YaHei" w:cs="Calibri"/>
          <w:b/>
          <w:i w:val="0"/>
          <w:color w:val="637381"/>
          <w:sz w:val="15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b w:val="0"/>
        <w:i w:val="0"/>
        <w:color w:val="637381"/>
        <w:sz w:val="15"/>
      </w:rPr>
      <w:t xml:space="preserve">PAGE </w:t>
    </w:r>
    <w:r>
      <w:rPr>
        <w:rFonts w:ascii="Calibri" w:hAnsi="Calibri" w:eastAsia="Microsoft YaHei" w:cs="Calibri"/>
        <w:b w:val="0"/>
        <w:i w:val="0"/>
        <w:color w:val="637381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文件 01：01_hyperscaler_capex.csv；SEC EDGAR 10-K companyfacts，retrieved 2026-07-12。FY2024 逐行合计为 USD 217.267bn；这些是公司总 capex，不是 AI 专属 capex。MSFT 为 6 月财年，AMZN 使用 PaymentsToAcquireProductiveAssets。</w:t>
      </w:r>
    </w:p>
  </w:footnote>
  <w:footnote w:id="2">
    <w:p>
      <w:r>
        <w:footnoteRef/>
      </w:r>
      <w:r>
        <w:t> 文件 02：02_us_optical_comps.csv；SEC EDGAR 10-K 公司级收入、毛利、研发与同比。各公司财年截止日不同，且附件不含 CPO 分部收入、股价、EPS、EV、PE 或一致预期。</w:t>
      </w:r>
    </w:p>
  </w:footnote>
  <w:footnote w:id="3">
    <w:p>
      <w:r>
        <w:footnoteRef/>
      </w:r>
      <w:r>
        <w:t> 文件 04：04_optical_market_estimates.csv；LightCounting/Yole-style proprietary headline estimates，仅作第三方方向性情景背景，不是一手已验证事实。</w:t>
      </w:r>
    </w:p>
  </w:footnote>
  <w:footnote w:id="4">
    <w:p>
      <w:r>
        <w:footnoteRef/>
      </w:r>
      <w:r>
        <w:t> 文件 05：05_cpo_tech_roadmap.md；用于技术定义、800G→1.6T→3.2T 路线和厂商公开产品里程碑。平台发布、路线图与生态关系不等于订单。</w:t>
      </w:r>
    </w:p>
  </w:footnote>
  <w:footnote w:id="5">
    <w:p>
      <w:r>
        <w:footnoteRef/>
      </w:r>
      <w:r>
        <w:t> 文件 03：03_ashare_optical_financials.csv；best-effort/reconfirm against filings，数值为冻结评测口径并经四舍五入，不声称完成实时年报或机器核验。</w:t>
      </w:r>
    </w:p>
  </w:footnote>
  <w:footnote w:id="6">
    <w:p>
      <w:r>
        <w:footnoteRef/>
      </w:r>
      <w:r>
        <w:t> 文件 06：06_company_profiles.md；用于冻结候选池、唯一主环节、受益类型标签和公开业务概括。具体客户、份额、产能与订单若附件未列出，应标为未提供/待核验。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856" w:val="left"/>
      </w:tabs>
      <w:spacing w:after="0"/>
      <w:jc w:val="left"/>
    </w:pPr>
    <w:r>
      <w:rPr>
        <w:rFonts w:ascii="Calibri" w:hAnsi="Calibri" w:eastAsia="Microsoft YaHei" w:cs="Calibri"/>
        <w:b/>
        <w:i w:val="0"/>
        <w:color w:val="637381"/>
        <w:sz w:val="14"/>
      </w:rPr>
      <w:t>CPO INVESTMENT STRATEGY  |  2026</w:t>
    </w:r>
    <w:r>
      <w:rPr>
        <w:rFonts w:ascii="Calibri" w:hAnsi="Calibri" w:eastAsia="Microsoft YaHei" w:cs="Calibri"/>
        <w:b w:val="0"/>
        <w:i w:val="0"/>
        <w:color w:val="637381"/>
        <w:sz w:val="14"/>
      </w:rPr>
      <w:tab/>
      <w:t>仅供评测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52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全球共封装光学（CPO）行业投资策略</dc:title>
  <dc:subject>Frozen GDPval evaluation reference report</dc:subject>
  <dc:creator>Track A Evaluation</dc:creator>
  <cp:keywords>CPO, co-packaged optics, investment strategy, GDPval</cp:keywords>
  <dc:description>Reference exemplar only; not investment advice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