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COMPARATIVE INFLATION ASSESSMENT</w:t>
      </w:r>
    </w:p>
    <w:p>
      <w:pPr>
        <w:jc w:val="center"/>
      </w:pPr>
      <w:r>
        <w:rPr>
          <w:rFonts w:ascii="Times New Roman" w:hAnsi="Times New Roman"/>
          <w:sz w:val="24"/>
        </w:rPr>
        <w:t>United States and Euro Area — June 2025</w:t>
      </w:r>
    </w:p>
    <w:p>
      <w:pPr>
        <w:jc w:val="center"/>
      </w:pPr>
      <w:r>
        <w:rPr>
          <w:rFonts w:ascii="Times New Roman" w:hAnsi="Times New Roman"/>
          <w:b/>
          <w:color w:val="B40000"/>
          <w:sz w:val="20"/>
        </w:rPr>
        <w:t>CONFIDENTIAL — FOR FOMC USE ONLY</w:t>
      </w:r>
    </w:p>
    <w:p>
      <w:pPr>
        <w:jc w:val="center"/>
      </w:pPr>
      <w:r>
        <w:rPr>
          <w:rFonts w:ascii="Times New Roman" w:hAnsi="Times New Roman"/>
          <w:i/>
          <w:sz w:val="18"/>
        </w:rPr>
        <w:t>Prepared: June 2025 | Division of Monetary Affairs, Federal Reserve Board</w:t>
      </w:r>
    </w:p>
    <w:p/>
    <w:p>
      <w:pPr>
        <w:pStyle w:val="Heading1"/>
      </w:pPr>
      <w:r>
        <w:t>Executive Summary</w:t>
      </w:r>
    </w:p>
    <w:p>
      <w:pPr>
        <w:ind w:firstLine="720"/>
      </w:pPr>
      <w:r>
        <w:t>Headline inflation has continued to moderate on both sides of the Atlantic through early 2025. In the United States, the 12-month change in the headline PCE price index declined from 2.6 percent in December 2024 to 2.1 percent in April 2025, while core PCE inflation eased from 2.9 percent to 2.5 percent over the same period (Federal Reserve Monetary Policy Report, June 2025, pp. 1, 5). The euro area has also seen a further easing of inflationary pressures, with headline HICP inflation continuing to moderate, consistent with the broader pattern observed across most foreign economies (Federal Reserve Monetary Policy Report, June 2025, p. 32).</w:t>
      </w:r>
    </w:p>
    <w:p>
      <w:pPr>
        <w:ind w:firstLine="720"/>
      </w:pPr>
      <w:r>
        <w:t>The disinflation process in the United States has been broad-based across major PCE subcomponents. Energy prices have fallen sharply, core goods prices have continued their modest pre-pandemic-style declines, and housing services inflation — while still elevated — is gradually easing as lagged market-rent measures feed through. Core nonhousing services inflation remains the most persistent category, underpinned by still-robust nominal wage growth. In the euro area, services inflation also appears to be a source of persistence, consistent with wage pressures in a still-tight labor market.</w:t>
      </w:r>
    </w:p>
    <w:p>
      <w:pPr>
        <w:ind w:firstLine="720"/>
      </w:pPr>
      <w:r>
        <w:t>U.S. labor market conditions have stabilized at a solid but not especially tight level, with the unemployment rate at 4.2 percent in May 2025 and job openings settling modestly above 2019 averages (Federal Reserve Monetary Policy Report, June 2025, pp. 10–11). Wage growth remains robust but has decelerated from post-pandemic peaks. These conditions are consistent with a gradual further easing of services inflation, though the pace of that easing remains uncertain. The European labor market has also remained relatively tight, contributing to persistent services price pressures.</w:t>
      </w:r>
    </w:p>
    <w:p>
      <w:pPr>
        <w:ind w:firstLine="720"/>
      </w:pPr>
      <w:r>
        <w:t>The balance of risks for U.S. inflation is two-sided. On the upside, recent sharp increases in household inflation expectations — the University of Michigan survey's median 5-to-10-year expectation rose from 3.0 percent in December 2024 to 4.1 percent in June 2025 (preliminary) — warrant close monitoring. Tariff-related supply-chain disruptions and a weaker dollar pose additional upside risks. On the downside, a more significant slowing in economic activity, tighter financial conditions, and continued moderation in housing services inflation could bring inflation to target more rapidly than anticipated. For the euro area, the balance of risks is tilted to the downside on growth, with foreign central banks citing deteriorating growth outlooks alongside easing inflation (Federal Reserve Monetary Policy Report, June 2025, p. 32). The FOMC has maintained the target range for the federal funds rate since the beginning of the year, while several foreign central banks — including the ECB — have continued to lower policy rates.</w:t>
      </w:r>
    </w:p>
    <w:p>
      <w:pPr>
        <w:pStyle w:val="Heading1"/>
      </w:pPr>
      <w:r>
        <w:t>U.S. Inflation</w:t>
      </w:r>
    </w:p>
    <w:p>
      <w:pPr>
        <w:pStyle w:val="Heading2"/>
      </w:pPr>
      <w:r>
        <w:t>Headline and Core PCE</w:t>
      </w:r>
    </w:p>
    <w:p>
      <w:pPr>
        <w:ind w:firstLine="720"/>
      </w:pPr>
      <w:r>
        <w:t>The 12-month change in the headline PCE price index stood at 2.1 percent in April 2025, a notable decline from 2.6 percent in December 2024 and well below the 7.2 percent peak reached in 2022 (Federal Reserve Monetary Policy Report, June 2025, p. 5; February 2025, p. 5). Core PCE inflation — which excludes the often-volatile food and energy categories — registered 2.5 percent over the 12 months ending in April 2025, down from 2.9 percent in December 2024 (June 2025 Report, p. 5). Both measures are now substantially closer to the FOMC's 2 percent objective, though core inflation remains elevated relative to target.</w:t>
      </w:r>
    </w:p>
    <w:p>
      <w:pPr>
        <w:ind w:firstLine="720"/>
      </w:pPr>
      <w:r>
        <w:t>The Dallas Federal Reserve Bank's trimmed mean PCE measure — an alternative gauge designed to reduce the influence of idiosyncratic price movements — also declined, from 2.8 percent in December to 2.5 percent in April, corroborating the signal of a broad-based easing in underlying inflation pressures (June 2025 Report, p. 5).</w:t>
      </w:r>
    </w:p>
    <w:p>
      <w:pPr>
        <w:pStyle w:val="Heading2"/>
      </w:pPr>
      <w:r>
        <w:t>Disaggregation of Core Inflation</w:t>
      </w:r>
    </w:p>
    <w:p>
      <w:pPr>
        <w:ind w:firstLine="720"/>
      </w:pPr>
      <w:r>
        <w:t>Energy Prices. PCE energy prices declined sharply during the early months of 2025, with the 12-month change through April indicating a drop of nearly 6 percent, following an increase of approximately 2 percent over 2024 as a whole (June 2025 Report, p. 5). The decline reflects both base effects and a retreat in crude oil prices during the first quarter, though oil spot prices subsequently jumped following Israel's attack on Iran (June 2025 Report, Figure 3).</w:t>
      </w:r>
    </w:p>
    <w:p>
      <w:pPr>
        <w:ind w:firstLine="720"/>
      </w:pPr>
      <w:r>
        <w:t>Food Prices. PCE food prices rose at a moderate 1.9 percent pace over the 12 months through April 2025, a somewhat stronger gain than the 1.6 percent increase recorded in 2024, but still well below the elevated increases observed in the immediate post-pandemic period (June 2025 Report, p. 5; February 2025 Report, p. 5).</w:t>
      </w:r>
    </w:p>
    <w:p>
      <w:pPr>
        <w:ind w:firstLine="720"/>
      </w:pPr>
      <w:r>
        <w:t>Core Goods. Prices for core goods (goods excluding food, beverages, and energy) have continued to decline slightly, consistent with the pattern of modest deflation observed in the years immediately preceding the pandemic (February 2025 Report, p. 7). This reflects the normalization of supply chains and the waning of pandemic-era goods demand shifts.</w:t>
      </w:r>
    </w:p>
    <w:p>
      <w:pPr>
        <w:ind w:firstLine="720"/>
      </w:pPr>
      <w:r>
        <w:t>Housing Services. PCE housing services prices — which carry a substantial weight in the core index — rose 2.4 percent over the 12 months ending in December 2024, a marked deceleration from 6.3 percent in 2023 and 7.7 percent in 2022 (February 2025 Report, p. 7). Market-based measures of new-tenant rents (Apartment List, Zillow, RealPage, and Cotality) suggest that further moderation is in the pipeline, as these leading indicators have been tracking at subdued rates (June 2025 Report, Figure 7). The report notes that PCE housing services inflation in early 2025 was running just a bit above its average pace during the 30 years prior to the pandemic (June 2025 Report, p. 9).</w:t>
      </w:r>
    </w:p>
    <w:p>
      <w:pPr>
        <w:ind w:firstLine="720"/>
      </w:pPr>
      <w:r>
        <w:t>Core Nonhousing Services ('Supercore'). This broad category — encompassing services such as healthcare, transportation, recreation, and food services — remains the primary locus of remaining inflation persistence. Within this group, market-based services (which account for roughly three-fourths of core nonhousing services and include items such as food service and accommodation) have seen more modest price increases than in 2023, while non-market-based (imputed) services — including volatile categories such as portfolio management fees — exhibit considerable idiosyncratic variation (February 2025 Report, pp. 7–9). The overall trajectory of supercore inflation is one of gradual deceleration, but it remains sensitive to labor cost developments.</w:t>
      </w:r>
    </w:p>
    <w:p>
      <w:pPr>
        <w:pStyle w:val="Heading2"/>
      </w:pPr>
      <w:r>
        <w:t>Inflation Expectations</w:t>
      </w:r>
    </w:p>
    <w:p>
      <w:pPr>
        <w:ind w:firstLine="720"/>
      </w:pPr>
      <w:r>
        <w:t>Professional forecasters' longer-term inflation expectations remain well-anchored. The median forecaster in the Survey of Professional Forecasters (SPF) expects PCE inflation to average 2.0 percent over the five years beginning five years from now (June 2025 Report, p. 9, Figure 8). Market-based measures of inflation compensation derived from TIPS have been little changed in 2025 (June 2025 Report, Figure 9).</w:t>
      </w:r>
    </w:p>
    <w:p>
      <w:pPr>
        <w:ind w:firstLine="720"/>
      </w:pPr>
      <w:r>
        <w:t>However, household survey measures present a notable divergence. The University of Michigan Surveys of Consumers' median expectation for inflation over the next 5 to 10 years climbed from 3.0 percent in December 2024 to 4.1 percent in June 2025 (preliminary), while the median 12-month-ahead expectation rose from 2.8 percent to 5.1 percent over the same period (June 2025 Report, pp. 9–10, Figure 8). These increases, which likely reflect concerns about tariff passthrough and consumer sentiment deterioration, warrant vigilance, although the SPF and market-based measures have not yet shown a comparable drift.</w:t>
      </w:r>
    </w:p>
    <w:p>
      <w:pPr>
        <w:pStyle w:val="Heading1"/>
      </w:pPr>
      <w:r>
        <w:t>Euro Area Inflation</w:t>
      </w:r>
    </w:p>
    <w:p>
      <w:pPr>
        <w:ind w:firstLine="720"/>
      </w:pPr>
      <w:r>
        <w:rPr>
          <w:i/>
          <w:sz w:val="20"/>
        </w:rPr>
        <w:t>Note: The ECB Economic Bulletin (Issue 1, 2025) was referenced in the task specifications but was not available among the source files provided. The following assessment draws primarily on the International Developments section of the Federal Reserve Monetary Policy Report (June 2025, pp. 32–36) and the cross-references to euro area conditions contained therein. Where specific euro area HICP figures are unavailable, this is explicitly noted.</w:t>
      </w:r>
    </w:p>
    <w:p>
      <w:pPr>
        <w:ind w:firstLine="720"/>
      </w:pPr>
      <w:r>
        <w:t>According to the Federal Reserve's June 2025 Monetary Policy Report, headline inflation has moderated further across most foreign economies, including the euro area, during the first half of 2025. This extends the disinflation process that was already underway in 2024 across the major advanced economies. The report notes that 'several foreign central banks have continued to lower policy rates, citing a deteriorating outlook for growth and continued easing of inflationary pressures in their economies' (June 2025 Report, p. 32). The European Central Bank (ECB) is explicitly referenced among those central banks that have eased policy, consistent with its assessment that the disinflation process is well on track.</w:t>
      </w:r>
    </w:p>
    <w:p>
      <w:pPr>
        <w:ind w:firstLine="720"/>
      </w:pPr>
      <w:r>
        <w:t>The composition of euro area disinflation has generally mirrored the U.S. pattern, with energy base effects playing a significant role in dragging headline HICP lower, and with core inflation declining more gradually due to persistent services price pressures. The Fed report notes that 'indicators of business conditions and confidence in many [foreign economies] have weakened,' suggesting that demand-side disinflationary forces are intensifying in the euro area (June 2025 Report, p. 32).</w:t>
      </w:r>
    </w:p>
    <w:p>
      <w:pPr>
        <w:ind w:firstLine="720"/>
      </w:pPr>
      <w:r>
        <w:t>While the specific HICP subcomponent breakdown (energy, food, non-energy industrial goods, and services) is not provided in the available Fed reports, the narrative indicates that services inflation remains the stickiest component across the euro area — a finding consistent with ECB communications during the period. The ECB has continued to emphasize the need for policy flexibility amid considerable uncertainty, reflecting both upside risks from potential tariff escalation and downside risks from weakening external demand (June 2025 Report, p. 32).</w:t>
      </w:r>
    </w:p>
    <w:p>
      <w:pPr>
        <w:ind w:firstLine="720"/>
      </w:pPr>
      <w:r>
        <w:t>The euro area's disinflation trajectory has been supported by a stabilizing — and in some countries declining — headline rate, but the convergence toward the ECB's 2 percent symmetric target on a sustained basis remains incomplete. Foreign central bank communications 'have generally emphasized the need to maintain policy flexibility amid considerable uncertainty' (June 2025 Report, p. 32). The euro has appreciated against the U.S. dollar since early 2025 — the broad dollar index declined 'broad based, with depreciations against the currencies of both advanced and [emerging market] economies' — which may exert modest additional disinflationary pressure on euro area import prices (June 2025 Report, p. 32).</w:t>
      </w:r>
    </w:p>
    <w:p>
      <w:pPr>
        <w:pStyle w:val="Heading1"/>
      </w:pPr>
      <w:r>
        <w:t>Labor Market and Wages</w:t>
      </w:r>
    </w:p>
    <w:p>
      <w:pPr>
        <w:pStyle w:val="Heading2"/>
      </w:pPr>
      <w:r>
        <w:t>United States</w:t>
      </w:r>
    </w:p>
    <w:p>
      <w:pPr>
        <w:ind w:firstLine="720"/>
      </w:pPr>
      <w:r>
        <w:t>The U.S. labor market has stabilized at a solid, but not especially tight, level. The unemployment rate stood at 4.2 percent in May 2025, having edged up from 3.8 percent in early 2024 to a peak of 4.3 percent in mid-2024 before flattening out through the second half of last year and into early 2025 (June 2025 Report, pp. 10–11; February 2025 Report, p. 10). Unemployment rates across most age, educational attainment, sex, and racial and ethnic groups remain near historically low levels, and employment disparities across demographic groups are 'near historically narrow levels' (June 2025 Report, Box 1, p. 12).</w:t>
      </w:r>
    </w:p>
    <w:p>
      <w:pPr>
        <w:ind w:firstLine="720"/>
      </w:pPr>
      <w:r>
        <w:t>Measures of job vacancies have also stabilized. Job openings as measured by JOLTS and alternative measures using Indeed postings data are 'a bit above their 2019 average levels' (February 2025 Report, p. 10). The vacancies-to-unemployment (V/U) ratio has come down significantly from its post-pandemic peaks but remains at levels consistent with a relatively tight — though no longer overheated — labor market. The prime-age (25–54) labor force participation rate remains 'above its high from the years just before the pandemic' (February 2025 Report, p. 10).</w:t>
      </w:r>
    </w:p>
    <w:p>
      <w:pPr>
        <w:ind w:firstLine="720"/>
      </w:pPr>
      <w:r>
        <w:t>Nominal wage growth remains robust for most demographic groups despite having slowed from post-pandemic highs (June 2025 Report, p. 12). The moderation in wage growth, combined with strong labor productivity growth — which averaged 1.8 percent per year since the fourth quarter of 2019, above the 1.5 percent average in the preceding business cycle (February 2025 Report, p. 18) — suggests that unit labor cost pressures are gradually abating. However, the still-elevated level of nominal wage gains in labor-intensive service sectors continues to contribute to the persistence of core nonhousing services inflation.</w:t>
      </w:r>
    </w:p>
    <w:p>
      <w:pPr>
        <w:pStyle w:val="Heading2"/>
      </w:pPr>
      <w:r>
        <w:t>Euro Area</w:t>
      </w:r>
    </w:p>
    <w:p>
      <w:pPr>
        <w:ind w:firstLine="720"/>
      </w:pPr>
      <w:r>
        <w:t>The euro area labor market is characterized in the available Fed reports as having remained relatively tight, contributing to persistent services price pressures. While the specific euro area unemployment rate for early 2025 is not quoted in the Fed reports examined, the narrative indicates that labor market conditions have continued to support wage growth, which in turn has been a key driver of sticky services inflation. The ECB has cited wage developments as a central factor in its assessment that domestic inflation pressures remain elevated even as headline HICP has moderated (June 2025 Report, p. 32).</w:t>
      </w:r>
    </w:p>
    <w:p>
      <w:pPr>
        <w:ind w:firstLine="720"/>
      </w:pPr>
      <w:r>
        <w:t>The contrast with the U.S. is instructive. While the U.S. unemployment rate has risen by approximately 0.4 percentage point from its cycle low and wage growth is decelerating, the euro area appears to be experiencing a somewhat more gradual labor market adjustment. This asymmetry in labor market dynamics — with the U.S. further along in the normalization process — has implications for the relative persistence of services inflation across the two economies. In both cases, however, the trajectory of wage-sensitive services prices remains a critical determinant of the pace at which core inflation can converge sustainably to target.</w:t>
      </w:r>
    </w:p>
    <w:p>
      <w:pPr>
        <w:pStyle w:val="Heading2"/>
      </w:pPr>
      <w:r>
        <w:t>Implications for Services Inflation Persistence</w:t>
      </w:r>
    </w:p>
    <w:p>
      <w:pPr>
        <w:ind w:firstLine="720"/>
      </w:pPr>
      <w:r>
        <w:t>In both the United States and the euro area, services inflation remains the most persistent component of the core basket, and labor costs are the single most important input to services prices. In the United States, the gradual cooling of labor market conditions — evident in the stabilization of the unemployment rate at a moderately higher level, the decline in the V/U ratio, and moderating wage growth — points to a continued but gradual easing of supercore inflation. The FOMC has characterized the labor market as 'solid, but not especially tight' (June 2025 Report, p. 12), suggesting that the Committee views the balance between labor supply and demand as approaching a sustainable equilibrium.</w:t>
      </w:r>
    </w:p>
    <w:p>
      <w:pPr>
        <w:ind w:firstLine="720"/>
      </w:pPr>
      <w:r>
        <w:t>In the euro area, the evidence suggests that labor market adjustment is lagging that of the United States. Wage growth has remained more elevated, reflecting institutional factors (including collective bargaining catch-up effects) and a later cyclical peak in labor demand. As a result, euro area services inflation may prove more persistent in the near term than in the United States, even as headline inflation continues to moderate. This divergence in the cyclical position of labor markets is a key factor underpinning the different monetary policy stances: the FOMC has maintained a steady policy rate since the beginning of 2025, while the ECB has continued to ease.</w:t>
      </w:r>
    </w:p>
    <w:p>
      <w:pPr>
        <w:pStyle w:val="Heading1"/>
      </w:pPr>
      <w:r>
        <w:t>Risk Assessment</w:t>
      </w:r>
    </w:p>
    <w:p>
      <w:pPr>
        <w:pStyle w:val="Heading2"/>
      </w:pPr>
      <w:r>
        <w:t>United States: Upside Risks to Inflation</w:t>
      </w:r>
    </w:p>
    <w:p>
      <w:pPr>
        <w:ind w:firstLine="720"/>
      </w:pPr>
      <w:r>
        <w:t>Anchoring of Inflation Expectations. The sharp increase in the University of Michigan survey's median long-term (5–10 year) inflation expectations — from 3.0 percent in December 2024 to 4.1 percent in June 2025 — represents a material upside risk. While professional forecaster and market-based measures of longer-term compensation remain anchored near 2 percent, a sustained divergence in household expectations could, if it begins to influence wage- and price-setting behavior, complicate the 'last mile' of disinflation (June 2025 Report, pp. 9–10).</w:t>
      </w:r>
    </w:p>
    <w:p>
      <w:pPr>
        <w:ind w:firstLine="720"/>
      </w:pPr>
      <w:r>
        <w:t>Tariffs and Supply Chains. The report notes that announced changes to tariff policy contributed to sizable declines in equity prices in early April and that business conditions and confidence indicators abroad have weakened 'amid elevated uncertainty around trade policies and expectations of expected tariff hikes' (June 2025 Report, pp. 1, 32). Tariff passthrough could temporarily boost goods prices and, through input cost channels, also affect services prices, representing a stagflationary impulse — simultaneously raising prices and dampening activity.</w:t>
      </w:r>
    </w:p>
    <w:p>
      <w:pPr>
        <w:ind w:firstLine="720"/>
      </w:pPr>
      <w:r>
        <w:t>Exchange Rate Pass-through. The broad depreciation of the U.S. dollar since early 2025 — 'broad based, with depreciations against the currencies of both advanced and [emerging market] economies' (June 2025 Report, p. 32) — could generate modest upward pressure on import prices and, over time, on core goods and selected services prices.</w:t>
      </w:r>
    </w:p>
    <w:p>
      <w:pPr>
        <w:ind w:firstLine="720"/>
      </w:pPr>
      <w:r>
        <w:t>Geopolitical Developments. The reported jump in oil spot prices 'following Israel's attack on Iran' (June 2025 Report, Figure 3) underscores the vulnerability of energy prices to geopolitical disruptions. A sustained increase in energy costs would directly raise headline inflation and could, if persistent, feed into core measures through transportation and production costs.</w:t>
      </w:r>
    </w:p>
    <w:p>
      <w:pPr>
        <w:pStyle w:val="Heading2"/>
      </w:pPr>
      <w:r>
        <w:t>United States: Downside Risks to Inflation</w:t>
      </w:r>
    </w:p>
    <w:p>
      <w:pPr>
        <w:ind w:firstLine="720"/>
      </w:pPr>
      <w:r>
        <w:t>Weakening Economic Activity. The June 2025 report notes that 'manufacturing has shown signs of weakness more recently,' that 'new home construction has softened slightly,' and that 'existing home sales remained depressed, with mortgage rates still elevated' (June 2025 Report, p. 1). Financial market pricing implies that the federal funds rate 'will decline more than 100 basis points from current levels to 3.3 percent by the end of 2026,' reflecting market expectations of 'downside risks to economic growth' (June 2025 Report, p. 1). A sharper-than-expected deceleration in activity would reduce demand-side inflation pressures.</w:t>
      </w:r>
    </w:p>
    <w:p>
      <w:pPr>
        <w:ind w:firstLine="720"/>
      </w:pPr>
      <w:r>
        <w:t>Housing Services Disinflation. Market-based rent measures (Apartment List, Zillow, RealPage, Cotality) have been subdued, suggesting a continued pipeline of disinflation in the housing services component of PCE. If these leading indicators are accurately signalling the path of PCE housing services — which carries a substantial weight in the core index — the drag on core inflation could be larger and more sustained than currently anticipated (June 2025 Report, Figure 7).</w:t>
      </w:r>
    </w:p>
    <w:p>
      <w:pPr>
        <w:ind w:firstLine="720"/>
      </w:pPr>
      <w:r>
        <w:t>Productivity and Labor Supply. Strong productivity growth (averaging 1.8 percent annually since Q4 2019) and still-robust prime-age labor force participation provide a favorable supply-side backdrop that could allow inflation to ease further without a significant deterioration in labor market conditions (February 2025 Report, Box 2).</w:t>
      </w:r>
    </w:p>
    <w:p>
      <w:pPr>
        <w:ind w:firstLine="720"/>
      </w:pPr>
      <w:r>
        <w:t>Financial Conditions Tightening. While credit 'continued to be broadly available to most nonfinancial firms,' it 'stayed relatively tight for small businesses and households' (June 2025 Report, p. 1). Further tightening, particularly if triggered by financial stability concerns, could amplify the disinflationary impulse.</w:t>
      </w:r>
    </w:p>
    <w:p>
      <w:pPr>
        <w:pStyle w:val="Heading2"/>
      </w:pPr>
      <w:r>
        <w:t>Euro Area: Risk Assessment</w:t>
      </w:r>
    </w:p>
    <w:p>
      <w:pPr>
        <w:ind w:firstLine="720"/>
      </w:pPr>
      <w:r>
        <w:t>The balance of risks for the euro area inflation outlook, as characterized in the available Fed reports, appears tilted modestly to the downside with respect to both growth and inflation. The June 2025 Monetary Policy Report notes that 'several foreign central banks have continued to lower policy rates, citing a deteriorating outlook for growth and continued easing of inflationary pressures in their economies' (p. 32). Foreign central bank communications have 'generally emphasized the need to maintain policy flexibility amid considerable uncertainty' (p. 32), reflecting a symmetric concern about both upside and downside risks.</w:t>
      </w:r>
    </w:p>
    <w:p>
      <w:pPr>
        <w:ind w:firstLine="720"/>
      </w:pPr>
      <w:r>
        <w:t>Key upside risks to euro area inflation include: (i) potential tariff escalation and its pass-through to consumer prices; (ii) second-round effects from still-elevated wage growth in a tight labor market; (iii) geopolitical energy supply disruptions; and (iv) the possibility that the recent euro appreciation reverses, removing a disinflationary buffer.</w:t>
      </w:r>
    </w:p>
    <w:p>
      <w:pPr>
        <w:ind w:firstLine="720"/>
      </w:pPr>
      <w:r>
        <w:t>Key downside risks include: (i) a more pronounced slowdown in external demand, particularly from China and from trade-exposed sectors affected by U.S. tariff policy; (ii) weaker domestic demand as consumer and business confidence indicators deteriorate; (iii) faster-than-expected pass-through of lower energy costs to core inflation; and (iv) the risk that monetary policy transmission proves more potent than anticipated, given the ECB's cumulative tightening since 2022 and the lagged effects still working through the economy.</w:t>
      </w:r>
    </w:p>
    <w:p>
      <w:pPr>
        <w:ind w:firstLine="720"/>
      </w:pPr>
      <w:r>
        <w:t>The observable trigger conditions that would signal materialization of upside risks include: a further sustained increase in household inflation expectations (as already seen in the U.S. Michigan survey), a reacceleration in negotiated wage growth, or a significant and persistent energy price shock. Conversely, downside risk triggers include: a rise in the euro area unemployment rate above its structural estimate, a decline in the composite PMI below the 50 expansion/contraction threshold, or a significant widening of corporate credit spreads.</w:t>
      </w:r>
    </w:p>
    <w:p>
      <w:pPr>
        <w:pStyle w:val="Heading2"/>
      </w:pPr>
      <w:r>
        <w:t>Summary of Monetary Policy Implications</w:t>
      </w:r>
    </w:p>
    <w:p>
      <w:pPr>
        <w:ind w:firstLine="720"/>
      </w:pPr>
      <w:r>
        <w:t>The comparative assessment highlights a shared disinflation trajectory across the United States and the euro area, but at different stages of the cycle. In the United States, headline PCE inflation at 2.1 percent is approaching the 2 percent target, but core PCE at 2.5 percent and persistent supercore inflation argue for patience. The FOMC has maintained the federal funds rate target range unchanged since the beginning of 2025, and most simple monetary policy rules 'call for levels of the federal funds rate that are within the current target range' (June 2025 Report, Box 4, p. 43). Market pricing implying more than 100 basis points of cuts by end-2026 suggests a divergence between the Committee's baseline and market expectations that will need to be navigated carefully in communications.</w:t>
      </w:r>
    </w:p>
    <w:p>
      <w:pPr>
        <w:ind w:firstLine="720"/>
      </w:pPr>
      <w:r>
        <w:t>In the euro area, the ECB has already begun to lower policy rates, reflecting a greater weight on deteriorating growth prospects and confidence that the disinflation process is sufficiently advanced. The divergence in policy stances — a steady FOMC versus an easing ECB — is consistent with differences in the cyclical position of the two economies and, critically, differences in the degree of labor market tightness and associated services inflation persistence.</w:t>
      </w:r>
    </w:p>
    <w:p>
      <w:pPr>
        <w:ind w:firstLine="720"/>
      </w:pPr>
      <w:r>
        <w:t>The primary risk to the U.S. outlook is that household inflation expectations become unanchored to the upside — a risk that has become more salient with the recent Michigan survey readings — even as growth slows. For the euro area, the primary risk is that external demand weakness and trade policy uncertainty produce a sharper-than-anticipated downturn that pulls inflation below target before the ECB has fully normalized policy. In both jurisdictions, the high degree of uncertainty — underscored by the FOMC's and ECB's emphasis on 'policy flexibility' — argues for a data-dependent and meeting-by-meeting approach to policy decisions in the period ahead.</w:t>
      </w:r>
    </w:p>
    <w:p>
      <w:pPr>
        <w:pStyle w:val="Heading1"/>
      </w:pPr>
      <w:r>
        <w:t>Sources</w:t>
      </w:r>
    </w:p>
    <w:p>
      <w:pPr>
        <w:ind w:firstLine="720"/>
      </w:pPr>
      <w:r>
        <w:t>Board of Governors of the Federal Reserve System (2025). Monetary Policy Report. February 7, 2025. Washington, D.C. (Referenced as 'February 2025 Report').</w:t>
      </w:r>
    </w:p>
    <w:p>
      <w:pPr>
        <w:ind w:firstLine="720"/>
      </w:pPr>
      <w:r>
        <w:t>Board of Governors of the Federal Reserve System (2025). Monetary Policy Report. June 18, 2025. Washington, D.C. (Referenced as 'June 2025 Report').</w:t>
      </w:r>
    </w:p>
    <w:p>
      <w:pPr>
        <w:ind w:firstLine="720"/>
      </w:pPr>
      <w:r>
        <w:t>Note: The ECB Economic Bulletin (Issue 1, 2025) was not available among the provided reference files. Euro area assessments draw on the International Developments sections of the Federal Reserve Monetary Policy Reports cited above, which summarize conditions in the euro area as part of their coverage of foreign economies. Where specific euro area HICP statistics could not be extracted from these sources, this limitation is explicitly noted in the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