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Comparative Inflation Assessment</w:t>
      </w:r>
    </w:p>
    <w:p>
      <w:pPr>
        <w:jc w:val="center"/>
      </w:pPr>
      <w:r>
        <w:rPr>
          <w:rFonts w:ascii="Times New Roman" w:hAnsi="Times New Roman"/>
          <w:sz w:val="24"/>
        </w:rPr>
        <w:t>United States and Euro Area</w:t>
      </w:r>
    </w:p>
    <w:p>
      <w:pPr>
        <w:jc w:val="center"/>
      </w:pPr>
      <w:r>
        <w:rPr>
          <w:rFonts w:ascii="Times New Roman" w:hAnsi="Times New Roman"/>
          <w:i/>
          <w:sz w:val="20"/>
        </w:rPr>
        <w:t>Prepared for the Federal Open Market Committee</w:t>
        <w:br/>
        <w:t>June 2025</w:t>
      </w:r>
    </w:p>
    <w:p/>
    <w:p>
      <w:pPr>
        <w:pStyle w:val="Heading1"/>
      </w:pPr>
      <w:r>
        <w:rPr>
          <w:rFonts w:ascii="Times New Roman" w:hAnsi="Times New Roman"/>
        </w:rPr>
        <w:t>Executive Summary</w:t>
      </w:r>
    </w:p>
    <w:p>
      <w:r>
        <w:rPr>
          <w:rFonts w:ascii="Times New Roman" w:hAnsi="Times New Roman"/>
          <w:sz w:val="22"/>
        </w:rPr>
        <w:t>This brief provides a comparative assessment of recent inflation dynamics and labor market conditions in the United States and the euro area, drawing on the Federal Reserve Monetary Policy Reports of February 2025 and June 2025, and the European Central Bank (ECB) Economic Bulletin, Issue 1, 2025. The assessment is intended to inform the Federal Open Market Committee's (FOMC) deliberations on the economic outlook and the appropriate stance of monetary policy.</w:t>
      </w:r>
    </w:p>
    <w:p>
      <w:r>
        <w:rPr>
          <w:rFonts w:ascii="Times New Roman" w:hAnsi="Times New Roman"/>
          <w:sz w:val="22"/>
        </w:rPr>
        <w:t>Headline inflation has continued to ease in both economies from their post-pandemic peaks, but the composition and momentum of disinflation differ markedly. In the United States, the 12-month change in the headline PCE price index stood at 2.1 percent in April 2025, down from 2.6 percent in December 2024, while core PCE inflation receded from 2.9 percent to 2.5 percent over the same period (Fed Monetary Policy Report, June 2025, p. 5). In the euro area, headline HICP inflation was 2.4 percent in December 2024, with a flash estimate of 2.5 percent for January 2025, up from 2.2 percent in November, driven largely by base effects in energy prices (ECB Economic Bulletin, Issue 1, 2025, Summary). Euro area services inflation remains notably elevated at 4.0 percent, while non-energy industrial goods inflation is subdued at 0.5 percent.</w:t>
      </w:r>
    </w:p>
    <w:p>
      <w:r>
        <w:rPr>
          <w:rFonts w:ascii="Times New Roman" w:hAnsi="Times New Roman"/>
          <w:sz w:val="22"/>
        </w:rPr>
        <w:t>Both jurisdictions face a common challenge: services price inflation has proven sticky, sustained in part by still-firm labor markets. The U.S. unemployment rate stood at 4.2 percent in May 2025, with the labor market characterized as "solid, but not especially tight" (Fed Monetary Policy Report, June 2025, p. 10). The euro area labor market remains resilient, with employment growth continuing to support household incomes. Wage growth in both economies, while moderating, continues to feed through to services prices.</w:t>
      </w:r>
    </w:p>
    <w:p>
      <w:r>
        <w:rPr>
          <w:rFonts w:ascii="Times New Roman" w:hAnsi="Times New Roman"/>
          <w:sz w:val="22"/>
        </w:rPr>
        <w:t>The balance of risks to the inflation outlook is two-sided in both economies. For the United States, upside risks stem from potential tariff passthrough, elevated near-term household inflation expectations (the Michigan survey's 12-month median rose to 5.1 percent in June 2025), and geopolitical disruptions to energy markets. Downside risks include a sharper-than-expected slowing in economic activity and further disinflation in core goods and housing services. For the euro area, upside risks include persistent services and wage inflation, while downside risks center on weaker external demand and the potential for below-target inflation should energy prices resume their decline.</w:t>
      </w:r>
    </w:p>
    <w:p>
      <w:pPr>
        <w:pStyle w:val="Heading1"/>
      </w:pPr>
      <w:r>
        <w:rPr>
          <w:rFonts w:ascii="Times New Roman" w:hAnsi="Times New Roman"/>
        </w:rPr>
        <w:t>U.S. Inflation</w:t>
      </w:r>
    </w:p>
    <w:p>
      <w:pPr>
        <w:pStyle w:val="Heading2"/>
      </w:pPr>
      <w:r>
        <w:rPr>
          <w:rFonts w:ascii="Times New Roman" w:hAnsi="Times New Roman"/>
        </w:rPr>
        <w:t>Headline and Core PCE Inflation</w:t>
      </w:r>
    </w:p>
    <w:p>
      <w:r>
        <w:rPr>
          <w:rFonts w:ascii="Times New Roman" w:hAnsi="Times New Roman"/>
          <w:sz w:val="22"/>
        </w:rPr>
        <w:t>Consumer price inflation in the United States, as measured by the Personal Consumption Expenditures (PCE) price index, continued to ease during the first four months of 2025. The 12-month change in headline PCE prices was 2.1 percent in April 2025, down from 2.6 percent in December 2024 and well below the 7.2 percent peak recorded in 2022 (Fed Monetary Policy Report, June 2025, p. 5; February 2025, p. 5). Core PCE inflation—which excludes the often-volatile food and energy components—declined from 2.9 percent in December 2024 to 2.5 percent in April 2025 (Fed Monetary Policy Report, June 2025, p. 5). The Dallas Fed trimmed mean PCE measure, which reduces the influence of idiosyncratic price movements, likewise eased from 2.8 percent in December to 2.5 percent in April, corroborating the broad-based nature of the disinflation (Fed Monetary Policy Report, June 2025, p. 5).</w:t>
      </w:r>
    </w:p>
    <w:p>
      <w:pPr>
        <w:pStyle w:val="Heading2"/>
      </w:pPr>
      <w:r>
        <w:rPr>
          <w:rFonts w:ascii="Times New Roman" w:hAnsi="Times New Roman"/>
        </w:rPr>
        <w:t>Disaggregation of Core Inflation</w:t>
      </w:r>
    </w:p>
    <w:p>
      <w:r>
        <w:rPr>
          <w:rFonts w:ascii="Times New Roman" w:hAnsi="Times New Roman"/>
          <w:sz w:val="22"/>
        </w:rPr>
        <w:t>Core goods prices. Core goods prices (goods excluding food, beverages, and energy) have been declining slightly, continuing a pattern close to pre-pandemic trends. The February 2025 report noted that core goods prices had resumed modest declines after the pandemic-era surge, with supply chain normalization and easing input cost pressures contributing to this trajectory (Fed Monetary Policy Report, February 2025, p. 7).</w:t>
      </w:r>
    </w:p>
    <w:p>
      <w:r>
        <w:rPr>
          <w:rFonts w:ascii="Times New Roman" w:hAnsi="Times New Roman"/>
          <w:sz w:val="22"/>
        </w:rPr>
        <w:t>Housing services. PCE housing services prices—which carry a large weight in the core index—have moderated but remain elevated relative to pre-pandemic norms. The stock of housing services prices was approximately 25 percent above pre-pandemic levels as of end-2024 (Fed Monetary Policy Report, February 2025, p. 7). However, market-based measures of new-tenant rents from Zillow, Apartment List, RealPage, and Cotality point to ongoing deceleration in the pipeline, suggesting that PCE housing services inflation should continue to ease in coming quarters (Fed Monetary Policy Report, June 2025, Figure 7).</w:t>
      </w:r>
    </w:p>
    <w:p>
      <w:r>
        <w:rPr>
          <w:rFonts w:ascii="Times New Roman" w:hAnsi="Times New Roman"/>
          <w:sz w:val="22"/>
        </w:rPr>
        <w:t>Core services excluding housing ("supercore"). Prices for core nonhousing services—a broad category that includes health care, transportation, recreation, and financial services—have displayed more varied dynamics. Within this category, market-based core services (which account for roughly three-fourths of core nonhousing services and include items such as food service and accommodation) saw prices rise about 2.4 percent over the year ending in December 2024, down from 3.7 percent in 2023 (Fed Monetary Policy Report, February 2025, pp. 7–8). The non-market-based component—where prices are imputed and which includes volatile categories such as portfolio management fees—has been heavily influenced by idiosyncratic factors, particularly swings in equity prices.</w:t>
      </w:r>
    </w:p>
    <w:p>
      <w:pPr>
        <w:pStyle w:val="Heading2"/>
      </w:pPr>
      <w:r>
        <w:rPr>
          <w:rFonts w:ascii="Times New Roman" w:hAnsi="Times New Roman"/>
        </w:rPr>
        <w:t>Energy and Food</w:t>
      </w:r>
    </w:p>
    <w:p>
      <w:r>
        <w:rPr>
          <w:rFonts w:ascii="Times New Roman" w:hAnsi="Times New Roman"/>
          <w:sz w:val="22"/>
        </w:rPr>
        <w:t>PCE energy prices declined significantly in early 2025, with the 12-month change through April indicating a drop of nearly 6 percent, following a modest increase of around 2 percent over the course of 2024 (Fed Monetary Policy Report, June 2025, p. 5). The June 2025 report noted that crude oil spot prices jumped following Israel's attack on Iran, though futures prices beyond the near term remained relatively contained (Fed Monetary Policy Report, June 2025, Figure 3). PCE food prices rose moderately, with the 12-month change through April at 1.9 percent, somewhat stronger than the 1.6 percent increase recorded in 2024 but still well below post-pandemic peaks (Fed Monetary Policy Report, June 2025, p. 5; February 2025, p. 5).</w:t>
      </w:r>
    </w:p>
    <w:p>
      <w:pPr>
        <w:pStyle w:val="Heading2"/>
      </w:pPr>
      <w:r>
        <w:rPr>
          <w:rFonts w:ascii="Times New Roman" w:hAnsi="Times New Roman"/>
        </w:rPr>
        <w:t>Inflation Expectations</w:t>
      </w:r>
    </w:p>
    <w:p>
      <w:r>
        <w:rPr>
          <w:rFonts w:ascii="Times New Roman" w:hAnsi="Times New Roman"/>
          <w:sz w:val="22"/>
        </w:rPr>
        <w:t>Longer-term inflation expectations present a mixed picture. Professional forecasters and market-based measures remain well-anchored: the median forecaster in the Survey of Professional Forecasters (SPF) expects PCE inflation to average 2.0 percent over the five years beginning five years from now, and TIPS-based inflation compensation measures have been little changed (Fed Monetary Policy Report, June 2025, pp. 8–10). However, the University of Michigan Surveys of Consumers show a notable divergence: the median expectation for inflation over the next 5 to 10 years climbed from 3.0 percent in December 2024 to 4.1 percent in June 2025 (preliminary), and the median 12-month-ahead expectation rose from 2.8 percent to 5.1 percent over the same period. The June 2025 report attributes much of this increase to announced tariff changes, and notes that other household survey measures (such as the New York Fed's Survey of Consumer Expectations) have not shown similar deterioration (Fed Monetary Policy Report, June 2025, p. 8).</w:t>
      </w:r>
    </w:p>
    <w:p>
      <w:pPr>
        <w:pStyle w:val="Heading1"/>
      </w:pPr>
      <w:r>
        <w:rPr>
          <w:rFonts w:ascii="Times New Roman" w:hAnsi="Times New Roman"/>
        </w:rPr>
        <w:t>Euro Area Inflation</w:t>
      </w:r>
    </w:p>
    <w:p>
      <w:pPr>
        <w:pStyle w:val="Heading2"/>
      </w:pPr>
      <w:r>
        <w:rPr>
          <w:rFonts w:ascii="Times New Roman" w:hAnsi="Times New Roman"/>
        </w:rPr>
        <w:t>Headline HICP Inflation</w:t>
      </w:r>
    </w:p>
    <w:p>
      <w:r>
        <w:rPr>
          <w:rFonts w:ascii="Times New Roman" w:hAnsi="Times New Roman"/>
          <w:sz w:val="22"/>
        </w:rPr>
        <w:t>Euro area inflation, as measured by the Harmonised Index of Consumer Prices (HICP), increased to 2.4 percent in December 2024, up from 2.2 percent in November 2024. According to the ECB, this increase was expected and "primarily reflected past sharp drops in energy prices falling out of the calculation" (ECB Economic Bulletin, Issue 1, 2025, Summary). A flash estimate from Eurostat indicated that HICP inflation rose further to 2.5 percent in January 2025 (ECB Economic Bulletin, Issue 1, 2025, Prices and Costs, footnote 5). The uptick in headline inflation over the turn of the year was thus largely attributable to unfavorable base effects in energy rather than a renewed build-up of underlying price pressures.</w:t>
      </w:r>
    </w:p>
    <w:p>
      <w:pPr>
        <w:pStyle w:val="Heading2"/>
      </w:pPr>
      <w:r>
        <w:rPr>
          <w:rFonts w:ascii="Times New Roman" w:hAnsi="Times New Roman"/>
        </w:rPr>
        <w:t>Disaggregation of HICP Components</w:t>
      </w:r>
    </w:p>
    <w:p>
      <w:r>
        <w:rPr>
          <w:rFonts w:ascii="Times New Roman" w:hAnsi="Times New Roman"/>
          <w:sz w:val="22"/>
        </w:rPr>
        <w:t>The ECB Economic Bulletin provides a detailed breakdown of HICP inflation by main components for December 2024 (Summary; Chart 9):</w:t>
      </w:r>
    </w:p>
    <w:p>
      <w:pPr>
        <w:pStyle w:val="ListBullet"/>
      </w:pPr>
      <w:r>
        <w:rPr>
          <w:rFonts w:ascii="Times New Roman" w:hAnsi="Times New Roman"/>
          <w:sz w:val="22"/>
        </w:rPr>
        <w:t>Energy: Energy prices pushed up slightly on an annual basis in December, after four consecutive months of declines. The month-on-month increase in December, combined with base effects from sharp drops a year earlier, shifted the annual energy contribution from negative to slightly positive territory.</w:t>
      </w:r>
    </w:p>
    <w:p>
      <w:pPr>
        <w:pStyle w:val="ListBullet"/>
      </w:pPr>
      <w:r>
        <w:rPr>
          <w:rFonts w:ascii="Times New Roman" w:hAnsi="Times New Roman"/>
          <w:sz w:val="22"/>
        </w:rPr>
        <w:t>Food (including alcohol and tobacco): Food price inflation edged down to 2.6 percent in December 2024. While still above the ECB's 2 percent target, food inflation has moderated substantially from the double-digit rates observed during 2022–2023.</w:t>
      </w:r>
    </w:p>
    <w:p>
      <w:pPr>
        <w:pStyle w:val="ListBullet"/>
      </w:pPr>
      <w:r>
        <w:rPr>
          <w:rFonts w:ascii="Times New Roman" w:hAnsi="Times New Roman"/>
          <w:sz w:val="22"/>
        </w:rPr>
        <w:t>Non-energy industrial goods (NEIG): Goods inflation declined to 0.5 percent in December 2024, signaling very subdued price pressures in the goods sector. This component has been held down by easing supply chain bottlenecks, weak demand for durable goods, and competitive pressures from foreign producers.</w:t>
      </w:r>
    </w:p>
    <w:p>
      <w:pPr>
        <w:pStyle w:val="ListBullet"/>
      </w:pPr>
      <w:r>
        <w:rPr>
          <w:rFonts w:ascii="Times New Roman" w:hAnsi="Times New Roman"/>
          <w:sz w:val="22"/>
        </w:rPr>
        <w:t>Services: Services inflation edged up to 4.0 percent in December 2024, remaining the most significant contributor to elevated HICP inflation. The persistence of services price increases reflects the lagged pass-through of past wage growth, still-robust demand for contact-intensive services, and the relatively low productivity growth in the services sector.</w:t>
      </w:r>
    </w:p>
    <w:p>
      <w:r>
        <w:rPr>
          <w:rFonts w:ascii="Times New Roman" w:hAnsi="Times New Roman"/>
          <w:sz w:val="22"/>
        </w:rPr>
        <w:t>The ECB has noted that while headline inflation is expected to fluctuate around current levels in the near term, it should settle at the Governing Council's 2 percent medium-term target on a sustained basis over the course of 2025. However, the Governing Council has emphasized that "domestic inflation remains high, mostly owing to wages and services prices" and that it will follow a "data-dependent and meeting-by-meeting approach" in determining the appropriate monetary policy stance (ECB Economic Bulletin, Issue 1, 2025, Summary).</w:t>
      </w:r>
    </w:p>
    <w:p>
      <w:pPr>
        <w:pStyle w:val="Heading2"/>
      </w:pPr>
      <w:r>
        <w:rPr>
          <w:rFonts w:ascii="Times New Roman" w:hAnsi="Times New Roman"/>
        </w:rPr>
        <w:t>Comparison of Inflation Composition: U.S. vs. Euro Area</w:t>
      </w:r>
    </w:p>
    <w:p>
      <w:r>
        <w:rPr>
          <w:rFonts w:ascii="Times New Roman" w:hAnsi="Times New Roman"/>
          <w:sz w:val="22"/>
        </w:rPr>
        <w:t>A side-by-side comparison of the most recent inflation readings reveals important structural differences between the two economies. In the United States, goods price inflation is essentially flat to slightly negative, energy is a significant drag (nearly −6 percent), and housing services remains the largest source of persistence within core. In the euro area, by contrast, energy is no longer a deflationary force, goods inflation is low but still positive (0.5 percent), and services inflation (4.0 percent) substantially exceeds the U.S. supercore measure (market-based core nonhousing services at roughly 2.4 percent as of end-2024). The difference in services inflation between the two economies is a central concern for the relative monetary policy outlook.</w:t>
      </w:r>
    </w:p>
    <w:p>
      <w:pPr>
        <w:pStyle w:val="Heading1"/>
      </w:pPr>
      <w:r>
        <w:rPr>
          <w:rFonts w:ascii="Times New Roman" w:hAnsi="Times New Roman"/>
        </w:rPr>
        <w:t>Labor Market and Wages</w:t>
      </w:r>
    </w:p>
    <w:p>
      <w:pPr>
        <w:pStyle w:val="Heading2"/>
      </w:pPr>
      <w:r>
        <w:rPr>
          <w:rFonts w:ascii="Times New Roman" w:hAnsi="Times New Roman"/>
        </w:rPr>
        <w:t>United States</w:t>
      </w:r>
    </w:p>
    <w:p>
      <w:r>
        <w:rPr>
          <w:rFonts w:ascii="Times New Roman" w:hAnsi="Times New Roman"/>
          <w:sz w:val="22"/>
        </w:rPr>
        <w:t>The U.S. labor market has cooled from its post-pandemic overheating but remains solid. The unemployment rate stood at 4.2 percent in May 2025, little changed from 4.1 percent at the end of 2024 (Fed Monetary Policy Report, June 2025, p. 10; February 2025, p. 10). After rising from 3.8 percent in early 2024 to 4.1 percent by June 2024, the rate has been broadly stable. Unemployment rates across major demographic groups—by sex, race, ethnicity, and educational attainment—remain at relatively low levels, and employment disparities are "near historically narrow levels" (Fed Monetary Policy Report, June 2025, Box 1).</w:t>
      </w:r>
    </w:p>
    <w:p>
      <w:r>
        <w:rPr>
          <w:rFonts w:ascii="Times New Roman" w:hAnsi="Times New Roman"/>
          <w:sz w:val="22"/>
        </w:rPr>
        <w:t>The labor force participation rate (LFPR) for prime-age workers (aged 25 to 54) remains above its pre-pandemic high, a notable feature of this cycle. Job openings, as measured by the JOLTS survey and corroborated by alternative measures such as Indeed job postings, edged down over the first half of 2024 and have since stabilized. As of December 2024, both JOLTS and Indeed measures were "a bit above their 2019 average levels" (Fed Monetary Policy Report, February 2025, p. 10). The June 2025 report characterizes the labor market as "solid, but not especially tight," reflecting the cumulative effects of restrictive monetary policy and the normalization of labor supply and demand (Fed Monetary Policy Report, June 2025, Summary).</w:t>
      </w:r>
    </w:p>
    <w:p>
      <w:r>
        <w:rPr>
          <w:rFonts w:ascii="Times New Roman" w:hAnsi="Times New Roman"/>
          <w:sz w:val="22"/>
        </w:rPr>
        <w:t>Nominal wage growth "remains robust for most groups despite slowing somewhat from post-pandemic highs" (Fed Monetary Policy Report, June 2025, Box 1). Labor productivity in the business sector has increased 1.8 percent per year, on average, since the fourth quarter of 2019, stronger than its 1.5 percent average pace over the preceding 15 years (Fed Monetary Policy Report, February 2025, p. 3). This productivity performance provides some scope for real wage gains without generating additional inflationary pressure.</w:t>
      </w:r>
    </w:p>
    <w:p>
      <w:pPr>
        <w:pStyle w:val="Heading2"/>
      </w:pPr>
      <w:r>
        <w:rPr>
          <w:rFonts w:ascii="Times New Roman" w:hAnsi="Times New Roman"/>
        </w:rPr>
        <w:t>Euro Area</w:t>
      </w:r>
    </w:p>
    <w:p>
      <w:r>
        <w:rPr>
          <w:rFonts w:ascii="Times New Roman" w:hAnsi="Times New Roman"/>
          <w:sz w:val="22"/>
        </w:rPr>
        <w:t>The euro area labor market has remained resilient despite subdued economic growth. The ECB Economic Bulletin reports that employment continued to expand through the third quarter of 2024, supported by steady labor demand in services (ECB Economic Bulletin, Issue 1, 2025, Economic Activity, Chart 5). The unemployment rate is shown to have been broadly stable at historically low levels through November 2024, the latest observation available in the Bulletin. The ECB notes that the labor market "remains robust," with employment gains continuing to support household disposable income and consumption (ECB Economic Bulletin, Issue 1, 2025, Summary).</w:t>
      </w:r>
    </w:p>
    <w:p>
      <w:r>
        <w:rPr>
          <w:rFonts w:ascii="Times New Roman" w:hAnsi="Times New Roman"/>
          <w:sz w:val="22"/>
        </w:rPr>
        <w:t>Wage growth in the euro area has been a central focus of the ECB's inflation assessment. The ECB Bulletin includes a dedicated article on "Wage developments during and after the high inflation period" (Issue 1, 2025, pp. 95–115), highlighting the lagged and protracted nature of wage adjustment in the euro area. Unlike the United States, where wage growth has clearly peaked and is decelerating, euro area negotiated wages have continued to rise at elevated rates as workers seek to recover real purchasing power lost during the 2022–2023 inflation surge. The ECB's Governing Council has repeatedly identified domestic inflation—"mostly owing to wages and services prices"—as the primary concern preventing a faster normalization of policy rates (ECB Economic Bulletin, Issue 1, 2025, Summary).</w:t>
      </w:r>
    </w:p>
    <w:p>
      <w:pPr>
        <w:pStyle w:val="Heading2"/>
      </w:pPr>
      <w:r>
        <w:rPr>
          <w:rFonts w:ascii="Times New Roman" w:hAnsi="Times New Roman"/>
        </w:rPr>
        <w:t>Implications for Services Inflation Persistence</w:t>
      </w:r>
    </w:p>
    <w:p>
      <w:r>
        <w:rPr>
          <w:rFonts w:ascii="Times New Roman" w:hAnsi="Times New Roman"/>
          <w:sz w:val="22"/>
        </w:rPr>
        <w:t>The contrasting labor market dynamics have direct implications for the persistence of services inflation in the two economies:</w:t>
      </w:r>
    </w:p>
    <w:p>
      <w:pPr>
        <w:pStyle w:val="ListBullet"/>
      </w:pPr>
      <w:r>
        <w:rPr>
          <w:rFonts w:ascii="Times New Roman" w:hAnsi="Times New Roman"/>
          <w:sz w:val="22"/>
        </w:rPr>
        <w:t>In the United States, the combination of a gradually softening labor market, moderating wage growth, and solid productivity gains suggests that services inflation—including the supercore measure—should continue to ease. The FOMC's current policy stance, with the federal funds rate held steady since the beginning of 2025, provides a moderately restrictive backdrop that should further reduce labor market tightness over time.</w:t>
      </w:r>
    </w:p>
    <w:p>
      <w:pPr>
        <w:pStyle w:val="ListBullet"/>
      </w:pPr>
      <w:r>
        <w:rPr>
          <w:rFonts w:ascii="Times New Roman" w:hAnsi="Times New Roman"/>
          <w:sz w:val="22"/>
        </w:rPr>
        <w:t>In the euro area, the still-low unemployment rate—coupled with ongoing catch-up wage demands and the institutional features of euro area wage-setting (including multi-year collective bargaining agreements with indexation clauses in some member states)—suggests that services inflation may remain elevated for longer. The ECB has therefore maintained a cautious approach to rate cuts, lowering its deposit facility rate to 2.75 percent in February 2025 while emphasizing data-dependence and the need to see further evidence of wage moderation before declaring victory over inflation (ECB Economic Bulletin, Issue 1, 2025, Summary).</w:t>
      </w:r>
    </w:p>
    <w:p>
      <w:pPr>
        <w:pStyle w:val="Heading1"/>
      </w:pPr>
      <w:r>
        <w:rPr>
          <w:rFonts w:ascii="Times New Roman" w:hAnsi="Times New Roman"/>
        </w:rPr>
        <w:t>Risk Assessment</w:t>
      </w:r>
    </w:p>
    <w:p>
      <w:pPr>
        <w:pStyle w:val="Heading2"/>
      </w:pPr>
      <w:r>
        <w:rPr>
          <w:rFonts w:ascii="Times New Roman" w:hAnsi="Times New Roman"/>
        </w:rPr>
        <w:t>United States: Upside Risks to Inflation</w:t>
      </w:r>
    </w:p>
    <w:p>
      <w:pPr>
        <w:pStyle w:val="ListBullet"/>
      </w:pPr>
      <w:r>
        <w:rPr>
          <w:rFonts w:ascii="Times New Roman" w:hAnsi="Times New Roman"/>
          <w:sz w:val="22"/>
        </w:rPr>
        <w:t>Tariff passthrough. The June 2025 Monetary Policy Report notes that "announced changes to tariffs" contributed to sizable equity price declines in early April and have fed into higher near-term inflation expectations among households. The extent of passthrough to consumer prices remains uncertain but represents a clear upside risk (Fed Monetary Policy Report, June 2025, Summary).</w:t>
      </w:r>
    </w:p>
    <w:p>
      <w:pPr>
        <w:pStyle w:val="ListBullet"/>
      </w:pPr>
      <w:r>
        <w:rPr>
          <w:rFonts w:ascii="Times New Roman" w:hAnsi="Times New Roman"/>
          <w:sz w:val="22"/>
        </w:rPr>
        <w:t>Household inflation expectations. The sharp rise in the University of Michigan survey's measures—12-month expectations at 5.1 percent and 5-to-10-year expectations at 4.1 percent in June 2025—poses a risk if these expectations become embedded in wage- and price-setting behavior. However, the Fed report notes that professional forecaster and market-based measures have not shown similar deterioration, reducing the signal value of the Michigan survey (Fed Monetary Policy Report, June 2025, p. 8).</w:t>
      </w:r>
    </w:p>
    <w:p>
      <w:pPr>
        <w:pStyle w:val="ListBullet"/>
      </w:pPr>
      <w:r>
        <w:rPr>
          <w:rFonts w:ascii="Times New Roman" w:hAnsi="Times New Roman"/>
          <w:sz w:val="22"/>
        </w:rPr>
        <w:t>Geopolitical energy shocks. Crude oil prices jumped following Israel's attack on Iran, as noted in the June 2025 report. A sustained escalation in the Middle East could reverse the nearly 6 percent decline in PCE energy prices seen through April 2025 and feed through to headline and core inflation via transportation and production costs (Fed Monetary Policy Report, June 2025, Figures 2 and 3).</w:t>
      </w:r>
    </w:p>
    <w:p>
      <w:pPr>
        <w:pStyle w:val="ListBullet"/>
      </w:pPr>
      <w:r>
        <w:rPr>
          <w:rFonts w:ascii="Times New Roman" w:hAnsi="Times New Roman"/>
          <w:sz w:val="22"/>
        </w:rPr>
        <w:t>Services inertia. If the labor market proves more resilient than anticipated—for example, if job openings stabilize above pre-pandemic norms and wage growth fails to decelerate further—supercore inflation could remain stuck above levels consistent with the 2 percent target.</w:t>
      </w:r>
    </w:p>
    <w:p>
      <w:pPr>
        <w:pStyle w:val="Heading2"/>
      </w:pPr>
      <w:r>
        <w:rPr>
          <w:rFonts w:ascii="Times New Roman" w:hAnsi="Times New Roman"/>
        </w:rPr>
        <w:t>United States: Downside Risks to Inflation</w:t>
      </w:r>
    </w:p>
    <w:p>
      <w:pPr>
        <w:pStyle w:val="ListBullet"/>
      </w:pPr>
      <w:r>
        <w:rPr>
          <w:rFonts w:ascii="Times New Roman" w:hAnsi="Times New Roman"/>
          <w:sz w:val="22"/>
        </w:rPr>
        <w:t>Weakening economic activity. The June 2025 report notes that "manufacturing has shown signs of weakness more recently" and that financial market prices imply the federal funds rate will decline more than 100 basis points to 3.3 percent by end-2026, reflecting market concerns about downside risks to growth (Fed Monetary Policy Report, June 2025, Summary). A sharper slowdown would weigh on services demand and accelerate disinflation.</w:t>
      </w:r>
    </w:p>
    <w:p>
      <w:pPr>
        <w:pStyle w:val="ListBullet"/>
      </w:pPr>
      <w:r>
        <w:rPr>
          <w:rFonts w:ascii="Times New Roman" w:hAnsi="Times New Roman"/>
          <w:sz w:val="22"/>
        </w:rPr>
        <w:t>Housing disinflation. Leading market-rent indicators from Zillow, Apartment List, and RealPage continue to point to further deceleration in housing services prices. A faster-than-expected pass-through of these pipeline effects could pull core PCE below 2 percent more quickly than the baseline anticipates (Fed Monetary Policy Report, June 2025, Figure 7).</w:t>
      </w:r>
    </w:p>
    <w:p>
      <w:pPr>
        <w:pStyle w:val="ListBullet"/>
      </w:pPr>
      <w:r>
        <w:rPr>
          <w:rFonts w:ascii="Times New Roman" w:hAnsi="Times New Roman"/>
          <w:sz w:val="22"/>
        </w:rPr>
        <w:t>Strong productivity. If labor productivity growth remains above trend, unit labor costs could decelerate more rapidly, reducing cost-push pressures on services prices while allowing for sustained real wage gains (Fed Monetary Policy Report, February 2025, p. 3).</w:t>
      </w:r>
    </w:p>
    <w:p>
      <w:pPr>
        <w:pStyle w:val="ListBullet"/>
      </w:pPr>
      <w:r>
        <w:rPr>
          <w:rFonts w:ascii="Times New Roman" w:hAnsi="Times New Roman"/>
          <w:sz w:val="22"/>
        </w:rPr>
        <w:t>Well-anchored long-term expectations. The continued stability of SPF and TIPS-based inflation compensation measures suggests that the broad inflation regime remains consistent with the FOMC's 2 percent objective, limiting upside tail risk (Fed Monetary Policy Report, June 2025, pp. 8–10).</w:t>
      </w:r>
    </w:p>
    <w:p>
      <w:pPr>
        <w:pStyle w:val="Heading2"/>
      </w:pPr>
      <w:r>
        <w:rPr>
          <w:rFonts w:ascii="Times New Roman" w:hAnsi="Times New Roman"/>
        </w:rPr>
        <w:t>Euro Area: Upside Risks to Inflation</w:t>
      </w:r>
    </w:p>
    <w:p>
      <w:pPr>
        <w:pStyle w:val="ListBullet"/>
      </w:pPr>
      <w:r>
        <w:rPr>
          <w:rFonts w:ascii="Times New Roman" w:hAnsi="Times New Roman"/>
          <w:sz w:val="22"/>
        </w:rPr>
        <w:t>Persistent services and wage inflation. Services HICP inflation at 4.0 percent, combined with ongoing negotiated wage increases as workers recoup real income losses, represents the most significant domestic upside risk. The ECB's Governing Council has explicitly cited "domestic inflation... mostly owing to wages and services prices" as the primary concern (ECB Economic Bulletin, Issue 1, 2025, Summary).</w:t>
      </w:r>
    </w:p>
    <w:p>
      <w:pPr>
        <w:pStyle w:val="ListBullet"/>
      </w:pPr>
      <w:r>
        <w:rPr>
          <w:rFonts w:ascii="Times New Roman" w:hAnsi="Times New Roman"/>
          <w:sz w:val="22"/>
        </w:rPr>
        <w:t>Energy base effects and geopolitical risks. The turnaround in energy's contribution—from negative to slightly positive—could intensify if global energy markets tighten further, whether due to geopolitical developments or OPEC+ supply decisions.</w:t>
      </w:r>
    </w:p>
    <w:p>
      <w:pPr>
        <w:pStyle w:val="ListBullet"/>
      </w:pPr>
      <w:r>
        <w:rPr>
          <w:rFonts w:ascii="Times New Roman" w:hAnsi="Times New Roman"/>
          <w:sz w:val="22"/>
        </w:rPr>
        <w:t>Tariff retaliation and trade fragmentation. The ECB Bulletin notes that indicators of business conditions and confidence in many foreign economies have weakened "amid elevated trade policy uncertainty." If euro area exporters face increased trade barriers, the resulting depreciation pressure on the euro could raise import prices and feed into HICP inflation.</w:t>
      </w:r>
    </w:p>
    <w:p>
      <w:pPr>
        <w:pStyle w:val="ListBullet"/>
      </w:pPr>
      <w:r>
        <w:rPr>
          <w:rFonts w:ascii="Times New Roman" w:hAnsi="Times New Roman"/>
          <w:sz w:val="22"/>
        </w:rPr>
        <w:t>Second-round effects. The ECB's analysis of wage developments warns that the pass-through of past cost shocks to consumer prices may not yet be complete, particularly in services where labor costs represent a large share of total costs (ECB Economic Bulletin, Issue 1, 2025, Article on Wage Developments, pp. 95–115).</w:t>
      </w:r>
    </w:p>
    <w:p>
      <w:pPr>
        <w:pStyle w:val="Heading2"/>
      </w:pPr>
      <w:r>
        <w:rPr>
          <w:rFonts w:ascii="Times New Roman" w:hAnsi="Times New Roman"/>
        </w:rPr>
        <w:t>Euro Area: Downside Risks to Inflation</w:t>
      </w:r>
    </w:p>
    <w:p>
      <w:pPr>
        <w:pStyle w:val="ListBullet"/>
      </w:pPr>
      <w:r>
        <w:rPr>
          <w:rFonts w:ascii="Times New Roman" w:hAnsi="Times New Roman"/>
          <w:sz w:val="22"/>
        </w:rPr>
        <w:t>Weak external demand. The ECB Bulletin reports that "foreign growth picked up a bit in the first quarter of 2025" but that "indicators of business conditions and confidence in many foreign economies have weakened." Prolonged weakness in external demand—particularly from China—could suppress euro area goods prices further and weigh on overall economic activity, reducing inflationary pressure (ECB Economic Bulletin, Issue 1, 2025, External Environment).</w:t>
      </w:r>
    </w:p>
    <w:p>
      <w:pPr>
        <w:pStyle w:val="ListBullet"/>
      </w:pPr>
      <w:r>
        <w:rPr>
          <w:rFonts w:ascii="Times New Roman" w:hAnsi="Times New Roman"/>
          <w:sz w:val="22"/>
        </w:rPr>
        <w:t>Below-target inflation if energy prices resume decline. Should the factors that drove energy prices lower in late 2024 reassert themselves—for instance, a resolution of geopolitical tensions or weaker global demand—headline HICP could fall back below 2 percent, particularly given the already-subdued 0.5 percent NEIG inflation.</w:t>
      </w:r>
    </w:p>
    <w:p>
      <w:pPr>
        <w:pStyle w:val="ListBullet"/>
      </w:pPr>
      <w:r>
        <w:rPr>
          <w:rFonts w:ascii="Times New Roman" w:hAnsi="Times New Roman"/>
          <w:sz w:val="22"/>
        </w:rPr>
        <w:t>Tight financing conditions. Although the ECB has begun to lower rates, the transmission of past tightening continues to work through the economy. Bank lending rates for firms remained at 4.5 percent in November 2024, and mortgage lending growth was "muted overall" at 1.1 percent annually (ECB Economic Bulletin, Issue 1, 2025, Summary). If credit conditions tighten further or loan demand weakens more than expected, disinflation could accelerate.</w:t>
      </w:r>
    </w:p>
    <w:p>
      <w:pPr>
        <w:pStyle w:val="ListBullet"/>
      </w:pPr>
      <w:r>
        <w:rPr>
          <w:rFonts w:ascii="Times New Roman" w:hAnsi="Times New Roman"/>
          <w:sz w:val="22"/>
        </w:rPr>
        <w:t>Fiscal consolidation. Several euro area member states face pressure to consolidate public finances following the energy crisis support measures. Fiscal restraint would subtract from aggregate demand and reinforce disinflationary forces.</w:t>
      </w:r>
    </w:p>
    <w:p>
      <w:pPr>
        <w:pStyle w:val="Heading2"/>
      </w:pPr>
      <w:r>
        <w:rPr>
          <w:rFonts w:ascii="Times New Roman" w:hAnsi="Times New Roman"/>
        </w:rPr>
        <w:t>Summary Risk Matrix</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r>
          </w:p>
        </w:tc>
        <w:tc>
          <w:tcPr>
            <w:tcW w:type="dxa" w:w="3120"/>
          </w:tcPr>
          <w:p>
            <w:r>
              <w:rPr>
                <w:rFonts w:ascii="Times New Roman" w:hAnsi="Times New Roman"/>
                <w:b/>
                <w:sz w:val="18"/>
              </w:rPr>
              <w:t>United States</w:t>
            </w:r>
          </w:p>
        </w:tc>
        <w:tc>
          <w:tcPr>
            <w:tcW w:type="dxa" w:w="3120"/>
          </w:tcPr>
          <w:p>
            <w:r>
              <w:rPr>
                <w:rFonts w:ascii="Times New Roman" w:hAnsi="Times New Roman"/>
                <w:b/>
                <w:sz w:val="18"/>
              </w:rPr>
              <w:t>Euro Area</w:t>
            </w:r>
          </w:p>
        </w:tc>
      </w:tr>
      <w:tr>
        <w:tc>
          <w:tcPr>
            <w:tcW w:type="dxa" w:w="3120"/>
          </w:tcPr>
          <w:p>
            <w:r>
              <w:rPr>
                <w:rFonts w:ascii="Times New Roman" w:hAnsi="Times New Roman"/>
                <w:sz w:val="18"/>
              </w:rPr>
              <w:t>Upside Risks to Inflation</w:t>
            </w:r>
          </w:p>
        </w:tc>
        <w:tc>
          <w:tcPr>
            <w:tcW w:type="dxa" w:w="3120"/>
          </w:tcPr>
          <w:p>
            <w:r>
              <w:rPr>
                <w:rFonts w:ascii="Times New Roman" w:hAnsi="Times New Roman"/>
                <w:sz w:val="18"/>
              </w:rPr>
              <w:t>Tariff passthrough; elevated household inflation expectations (Michigan 5.1% 1yr, 4.1% 5-10yr); geopolitical energy shocks; sticky supercore services.</w:t>
            </w:r>
          </w:p>
        </w:tc>
        <w:tc>
          <w:tcPr>
            <w:tcW w:type="dxa" w:w="3120"/>
          </w:tcPr>
          <w:p>
            <w:r>
              <w:rPr>
                <w:rFonts w:ascii="Times New Roman" w:hAnsi="Times New Roman"/>
                <w:sz w:val="18"/>
              </w:rPr>
              <w:t>Persistent services inflation (4.0%); catch-up wage growth; energy base effects and geopolitical risks; trade fragmentation; second-round effects.</w:t>
            </w:r>
          </w:p>
        </w:tc>
      </w:tr>
      <w:tr>
        <w:tc>
          <w:tcPr>
            <w:tcW w:type="dxa" w:w="3120"/>
          </w:tcPr>
          <w:p>
            <w:r>
              <w:rPr>
                <w:rFonts w:ascii="Times New Roman" w:hAnsi="Times New Roman"/>
                <w:sz w:val="18"/>
              </w:rPr>
              <w:t>Downside Risks to Inflation</w:t>
            </w:r>
          </w:p>
        </w:tc>
        <w:tc>
          <w:tcPr>
            <w:tcW w:type="dxa" w:w="3120"/>
          </w:tcPr>
          <w:p>
            <w:r>
              <w:rPr>
                <w:rFonts w:ascii="Times New Roman" w:hAnsi="Times New Roman"/>
                <w:sz w:val="18"/>
              </w:rPr>
              <w:t>Weakening manufacturing and growth; faster housing services disinflation; strong productivity; well-anchored long-term expectations (SPF 2.0% 5yr5yr).</w:t>
            </w:r>
          </w:p>
        </w:tc>
        <w:tc>
          <w:tcPr>
            <w:tcW w:type="dxa" w:w="3120"/>
          </w:tcPr>
          <w:p>
            <w:r>
              <w:rPr>
                <w:rFonts w:ascii="Times New Roman" w:hAnsi="Times New Roman"/>
                <w:sz w:val="18"/>
              </w:rPr>
              <w:t>Weak external demand; resumption of energy price declines (NEIG at 0.5%); tight financing conditions (firm lending rate 4.5%); fiscal consolidation.</w:t>
            </w:r>
          </w:p>
        </w:tc>
      </w:tr>
    </w:tbl>
    <w:p/>
    <w:p>
      <w:pPr>
        <w:pStyle w:val="Heading1"/>
      </w:pPr>
      <w:r>
        <w:rPr>
          <w:rFonts w:ascii="Times New Roman" w:hAnsi="Times New Roman"/>
        </w:rPr>
        <w:t>Sources</w:t>
      </w:r>
    </w:p>
    <w:p>
      <w:r>
        <w:rPr>
          <w:rFonts w:ascii="Times New Roman" w:hAnsi="Times New Roman"/>
          <w:sz w:val="22"/>
        </w:rPr>
        <w:t>This brief draws exclusively on the following official publications:</w:t>
      </w:r>
    </w:p>
    <w:p>
      <w:pPr>
        <w:pStyle w:val="ListBullet"/>
      </w:pPr>
      <w:r>
        <w:rPr>
          <w:rFonts w:ascii="Times New Roman" w:hAnsi="Times New Roman"/>
          <w:sz w:val="20"/>
        </w:rPr>
        <w:t>Board of Governors of the Federal Reserve System. Monetary Policy Report. February 7, 2025. (Hereafter "Fed Monetary Policy Report, February 2025.")</w:t>
      </w:r>
    </w:p>
    <w:p>
      <w:pPr>
        <w:pStyle w:val="ListBullet"/>
      </w:pPr>
      <w:r>
        <w:rPr>
          <w:rFonts w:ascii="Times New Roman" w:hAnsi="Times New Roman"/>
          <w:sz w:val="20"/>
        </w:rPr>
        <w:t>Board of Governors of the Federal Reserve System. Monetary Policy Report. June 18, 2025. (Hereafter "Fed Monetary Policy Report, June 2025.")</w:t>
      </w:r>
    </w:p>
    <w:p>
      <w:pPr>
        <w:pStyle w:val="ListBullet"/>
      </w:pPr>
      <w:r>
        <w:rPr>
          <w:rFonts w:ascii="Times New Roman" w:hAnsi="Times New Roman"/>
          <w:sz w:val="20"/>
        </w:rPr>
        <w:t>European Central Bank. Economic Bulletin, Issue 1 / 2025. (Hereafter "ECB Economic Bulletin, Issue 1, 2025.")</w:t>
      </w:r>
    </w:p>
    <w:p>
      <w:r>
        <w:rPr>
          <w:rFonts w:ascii="Times New Roman" w:hAnsi="Times New Roman"/>
          <w:sz w:val="22"/>
        </w:rPr>
        <w:t>All statistics cited are sourced from these reports, with page references to the specific sections provided in the text. Where the ECB Economic Bulletin discusses data shown in charts rather than in narrative form, this is noted. No external data sources have been used.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