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Asset Valuations: Stretched Markets in a High-Uncertainty Environment</w:t>
      </w:r>
    </w:p>
    <w:p>
      <w:r>
        <w:rPr>
          <w:b w:val="0"/>
          <w:i/>
          <w:sz w:val="20"/>
        </w:rPr>
        <w:t>European Central Bank — Financial Stability Review, November 2025</w:t>
      </w:r>
    </w:p>
    <w:p/>
    <w:p>
      <w:pPr>
        <w:pStyle w:val="Heading1"/>
      </w:pPr>
      <w:r>
        <w:rPr>
          <w:color w:val="003366"/>
        </w:rPr>
        <w:t>1. Overall Assessment</w:t>
      </w:r>
    </w:p>
    <w:p>
      <w:r>
        <w:rPr>
          <w:b w:val="0"/>
          <w:i w:val="0"/>
          <w:sz w:val="22"/>
        </w:rPr>
        <w:t>Asset valuations across major euro area and global markets remain stretched entering the final quarter of 2025, despite—and in some respects because of—the sharp repricing episode triggered by the US tariff announcement on 2 April 2025. That episode saw the EURO STOXX 50 and S&amp;P 500 experience a sell-off of a magnitude not observed since the early stages of the COVID-19 pandemic, with volatility spikes across equity, bond, foreign exchange, and commodity markets (ECB FSR, May 2025, Chart 1, panel c). While markets subsequently rebounded—supported by the 90-day tariff pause and expectations of monetary accommodation—the recovery has restored the pre-existing pattern of elevated valuations against deteriorating macroeconomic fundamentals. Global trade policy uncertainty remains near record levels, the US effective tariff rate has risen sharply (ECB FSR, November 2025, Chart 1.1), and euro area growth continues to be weighed down by weakening external demand. The combination of compressed risk premiums, above-median equity multiples, and heightened policy uncertainty warrants an overall vulnerability rating of elevated for euro area asset valuations.</w:t>
      </w:r>
    </w:p>
    <w:p>
      <w:pPr>
        <w:pStyle w:val="Heading1"/>
      </w:pPr>
      <w:r>
        <w:rPr>
          <w:color w:val="003366"/>
        </w:rPr>
        <w:t>2. Key Asset Valuation Indicators</w:t>
      </w:r>
    </w:p>
    <w:p>
      <w:r>
        <w:rPr>
          <w:b w:val="0"/>
          <w:i w:val="0"/>
          <w:sz w:val="20"/>
        </w:rPr>
        <w:t>Table 1 summarises key valuation indicators discussed in the ECB FSR (May and November 2025) and the Fed FSR (November 2025). Where precise numerical estimates are provided in the sources, these are reported; qualitative descriptions are presented where exact figures are not available.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003366" w:val="clear"/>
          </w:tcPr>
          <w:p>
            <w:pPr>
              <w:jc w:val="center"/>
            </w:pPr>
            <w:r/>
            <w:r>
              <w:rPr>
                <w:b/>
                <w:color w:val="FFFFFF"/>
                <w:sz w:val="14"/>
              </w:rPr>
              <w:t>Asset Class / Indicator</w:t>
            </w:r>
          </w:p>
        </w:tc>
        <w:tc>
          <w:tcPr>
            <w:tcW w:type="dxa" w:w="850"/>
            <w:shd w:fill="003366" w:val="clear"/>
          </w:tcPr>
          <w:p>
            <w:pPr>
              <w:jc w:val="center"/>
            </w:pPr>
            <w:r/>
            <w:r>
              <w:rPr>
                <w:b/>
                <w:color w:val="FFFFFF"/>
                <w:sz w:val="14"/>
              </w:rPr>
              <w:t>Region</w:t>
            </w:r>
          </w:p>
        </w:tc>
        <w:tc>
          <w:tcPr>
            <w:tcW w:type="dxa" w:w="1587"/>
            <w:shd w:fill="003366" w:val="clear"/>
          </w:tcPr>
          <w:p>
            <w:pPr>
              <w:jc w:val="center"/>
            </w:pPr>
            <w:r/>
            <w:r>
              <w:rPr>
                <w:b/>
                <w:color w:val="FFFFFF"/>
                <w:sz w:val="14"/>
              </w:rPr>
              <w:t>Most Recent Level</w:t>
              <w:br/>
              <w:t>(late 2025)</w:t>
            </w:r>
          </w:p>
        </w:tc>
        <w:tc>
          <w:tcPr>
            <w:tcW w:type="dxa" w:w="1587"/>
            <w:shd w:fill="003366" w:val="clear"/>
          </w:tcPr>
          <w:p>
            <w:pPr>
              <w:jc w:val="center"/>
            </w:pPr>
            <w:r/>
            <w:r>
              <w:rPr>
                <w:b/>
                <w:color w:val="FFFFFF"/>
                <w:sz w:val="14"/>
              </w:rPr>
              <w:t>Position in Historical</w:t>
              <w:br/>
              <w:t>Distribution</w:t>
            </w:r>
          </w:p>
        </w:tc>
        <w:tc>
          <w:tcPr>
            <w:tcW w:type="dxa" w:w="1587"/>
            <w:shd w:fill="003366" w:val="clear"/>
          </w:tcPr>
          <w:p>
            <w:pPr>
              <w:jc w:val="center"/>
            </w:pPr>
            <w:r/>
            <w:r>
              <w:rPr>
                <w:b/>
                <w:color w:val="FFFFFF"/>
                <w:sz w:val="14"/>
              </w:rPr>
              <w:t>Source</w:t>
            </w:r>
          </w:p>
        </w:tc>
      </w:tr>
      <w:tr>
        <w:tc>
          <w:tcPr>
            <w:tcW w:type="dxa" w:w="1701"/>
          </w:tcPr>
          <w:p>
            <w:pPr>
              <w:jc w:val="center"/>
            </w:pPr>
            <w:r/>
            <w:r>
              <w:rPr>
                <w:sz w:val="14"/>
              </w:rPr>
              <w:t>Equities — Forward P/E</w:t>
            </w:r>
          </w:p>
        </w:tc>
        <w:tc>
          <w:tcPr>
            <w:tcW w:type="dxa" w:w="850"/>
          </w:tcPr>
          <w:p>
            <w:pPr>
              <w:jc w:val="center"/>
            </w:pPr>
            <w:r/>
            <w:r>
              <w:rPr>
                <w:sz w:val="14"/>
              </w:rPr>
              <w:t>US (S&amp;P 500)</w:t>
            </w:r>
          </w:p>
        </w:tc>
        <w:tc>
          <w:tcPr>
            <w:tcW w:type="dxa" w:w="1587"/>
          </w:tcPr>
          <w:p>
            <w:pPr>
              <w:jc w:val="center"/>
            </w:pPr>
            <w:r/>
            <w:r>
              <w:rPr>
                <w:sz w:val="14"/>
              </w:rPr>
              <w:t>Close to upper end of</w:t>
              <w:br/>
              <w:t>historical range</w:t>
            </w:r>
          </w:p>
        </w:tc>
        <w:tc>
          <w:tcPr>
            <w:tcW w:type="dxa" w:w="1587"/>
          </w:tcPr>
          <w:p>
            <w:pPr>
              <w:jc w:val="center"/>
            </w:pPr>
            <w:r/>
            <w:r>
              <w:rPr>
                <w:color w:val="B40000"/>
                <w:sz w:val="14"/>
              </w:rPr>
              <w:t>~90th percentile</w:t>
              <w:br/>
              <w:t>or above</w:t>
            </w:r>
          </w:p>
        </w:tc>
        <w:tc>
          <w:tcPr>
            <w:tcW w:type="dxa" w:w="1587"/>
          </w:tcPr>
          <w:p>
            <w:pPr>
              <w:jc w:val="center"/>
            </w:pPr>
            <w:r/>
            <w:r>
              <w:rPr>
                <w:sz w:val="14"/>
              </w:rPr>
              <w:t>Fed FSR Nov 2025,</w:t>
              <w:br/>
              <w:t>Fig 1.4</w:t>
            </w:r>
          </w:p>
        </w:tc>
      </w:tr>
      <w:tr>
        <w:tc>
          <w:tcPr>
            <w:tcW w:type="dxa" w:w="1701"/>
            <w:shd w:fill="EBF0F5" w:val="clear"/>
          </w:tcPr>
          <w:p>
            <w:pPr>
              <w:jc w:val="center"/>
            </w:pPr>
            <w:r/>
            <w:r>
              <w:rPr>
                <w:sz w:val="14"/>
              </w:rPr>
              <w:t>Equities — Equity Risk</w:t>
              <w:br/>
              <w:t>Premium</w:t>
            </w:r>
          </w:p>
        </w:tc>
        <w:tc>
          <w:tcPr>
            <w:tcW w:type="dxa" w:w="850"/>
            <w:shd w:fill="EBF0F5" w:val="clear"/>
          </w:tcPr>
          <w:p>
            <w:pPr>
              <w:jc w:val="center"/>
            </w:pPr>
            <w:r/>
            <w:r>
              <w:rPr>
                <w:sz w:val="14"/>
              </w:rPr>
              <w:t>US</w:t>
            </w:r>
          </w:p>
        </w:tc>
        <w:tc>
          <w:tcPr>
            <w:tcW w:type="dxa" w:w="1587"/>
            <w:shd w:fill="EBF0F5" w:val="clear"/>
          </w:tcPr>
          <w:p>
            <w:pPr>
              <w:jc w:val="center"/>
            </w:pPr>
            <w:r/>
            <w:r>
              <w:rPr>
                <w:sz w:val="14"/>
              </w:rPr>
              <w:t>Near 20-year low</w:t>
            </w:r>
          </w:p>
        </w:tc>
        <w:tc>
          <w:tcPr>
            <w:tcW w:type="dxa" w:w="1587"/>
            <w:shd w:fill="EBF0F5" w:val="clear"/>
          </w:tcPr>
          <w:p>
            <w:pPr>
              <w:jc w:val="center"/>
            </w:pPr>
            <w:r/>
            <w:r>
              <w:rPr>
                <w:color w:val="B40000"/>
                <w:sz w:val="14"/>
              </w:rPr>
              <w:t>Well below median;</w:t>
              <w:br/>
              <w:t>compressed</w:t>
            </w:r>
          </w:p>
        </w:tc>
        <w:tc>
          <w:tcPr>
            <w:tcW w:type="dxa" w:w="1587"/>
            <w:shd w:fill="EBF0F5" w:val="clear"/>
          </w:tcPr>
          <w:p>
            <w:pPr>
              <w:jc w:val="center"/>
            </w:pPr>
            <w:r/>
            <w:r>
              <w:rPr>
                <w:sz w:val="14"/>
              </w:rPr>
              <w:t>Fed FSR Nov 2025,</w:t>
              <w:br/>
              <w:t>Fig 1.5</w:t>
            </w:r>
          </w:p>
        </w:tc>
      </w:tr>
      <w:tr>
        <w:tc>
          <w:tcPr>
            <w:tcW w:type="dxa" w:w="1701"/>
          </w:tcPr>
          <w:p>
            <w:pPr>
              <w:jc w:val="center"/>
            </w:pPr>
            <w:r/>
            <w:r>
              <w:rPr>
                <w:sz w:val="14"/>
              </w:rPr>
              <w:t>Equities — EURO STOXX 50</w:t>
            </w:r>
          </w:p>
        </w:tc>
        <w:tc>
          <w:tcPr>
            <w:tcW w:type="dxa" w:w="850"/>
          </w:tcPr>
          <w:p>
            <w:pPr>
              <w:jc w:val="center"/>
            </w:pPr>
            <w:r/>
            <w:r>
              <w:rPr>
                <w:sz w:val="14"/>
              </w:rPr>
              <w:t>Euro area</w:t>
            </w:r>
          </w:p>
        </w:tc>
        <w:tc>
          <w:tcPr>
            <w:tcW w:type="dxa" w:w="1587"/>
          </w:tcPr>
          <w:p>
            <w:pPr>
              <w:jc w:val="center"/>
            </w:pPr>
            <w:r/>
            <w:r>
              <w:rPr>
                <w:sz w:val="14"/>
              </w:rPr>
              <w:t>Rebounded to pre-tariff</w:t>
              <w:br/>
              <w:t>levels after Apr sell-off</w:t>
            </w:r>
          </w:p>
        </w:tc>
        <w:tc>
          <w:tcPr>
            <w:tcW w:type="dxa" w:w="1587"/>
          </w:tcPr>
          <w:p>
            <w:pPr>
              <w:jc w:val="center"/>
            </w:pPr>
            <w:r/>
            <w:r>
              <w:rPr>
                <w:color w:val="B40000"/>
                <w:sz w:val="14"/>
              </w:rPr>
              <w:t>Stretched / elevated</w:t>
            </w:r>
          </w:p>
        </w:tc>
        <w:tc>
          <w:tcPr>
            <w:tcW w:type="dxa" w:w="1587"/>
          </w:tcPr>
          <w:p>
            <w:pPr>
              <w:jc w:val="center"/>
            </w:pPr>
            <w:r/>
            <w:r>
              <w:rPr>
                <w:sz w:val="14"/>
              </w:rPr>
              <w:t>ECB FSR May 2025,</w:t>
              <w:br/>
              <w:t>Overview, Chart 3</w:t>
            </w:r>
          </w:p>
        </w:tc>
      </w:tr>
      <w:tr>
        <w:tc>
          <w:tcPr>
            <w:tcW w:type="dxa" w:w="1701"/>
            <w:shd w:fill="EBF0F5" w:val="clear"/>
          </w:tcPr>
          <w:p>
            <w:pPr>
              <w:jc w:val="center"/>
            </w:pPr>
            <w:r/>
            <w:r>
              <w:rPr>
                <w:sz w:val="14"/>
              </w:rPr>
              <w:t>IG Corp. Bonds —</w:t>
              <w:br/>
              <w:t>Triple-B Spread</w:t>
            </w:r>
          </w:p>
        </w:tc>
        <w:tc>
          <w:tcPr>
            <w:tcW w:type="dxa" w:w="850"/>
            <w:shd w:fill="EBF0F5" w:val="clear"/>
          </w:tcPr>
          <w:p>
            <w:pPr>
              <w:jc w:val="center"/>
            </w:pPr>
            <w:r/>
            <w:r>
              <w:rPr>
                <w:sz w:val="14"/>
              </w:rPr>
              <w:t>US</w:t>
            </w:r>
          </w:p>
        </w:tc>
        <w:tc>
          <w:tcPr>
            <w:tcW w:type="dxa" w:w="1587"/>
            <w:shd w:fill="EBF0F5" w:val="clear"/>
          </w:tcPr>
          <w:p>
            <w:pPr>
              <w:jc w:val="center"/>
            </w:pPr>
            <w:r/>
            <w:r>
              <w:rPr>
                <w:sz w:val="14"/>
              </w:rPr>
              <w:t>~0.7 pp below</w:t>
              <w:br/>
              <w:t>historical median</w:t>
            </w:r>
          </w:p>
        </w:tc>
        <w:tc>
          <w:tcPr>
            <w:tcW w:type="dxa" w:w="1587"/>
            <w:shd w:fill="EBF0F5" w:val="clear"/>
          </w:tcPr>
          <w:p>
            <w:pPr>
              <w:jc w:val="center"/>
            </w:pPr>
            <w:r/>
            <w:r>
              <w:rPr>
                <w:color w:val="B40000"/>
                <w:sz w:val="14"/>
              </w:rPr>
              <w:t>Well below median;</w:t>
              <w:br/>
              <w:t>tight</w:t>
            </w:r>
          </w:p>
        </w:tc>
        <w:tc>
          <w:tcPr>
            <w:tcW w:type="dxa" w:w="1587"/>
            <w:shd w:fill="EBF0F5" w:val="clear"/>
          </w:tcPr>
          <w:p>
            <w:pPr>
              <w:jc w:val="center"/>
            </w:pPr>
            <w:r/>
            <w:r>
              <w:rPr>
                <w:sz w:val="14"/>
              </w:rPr>
              <w:t>Fed FSR Nov 2025,</w:t>
              <w:br/>
              <w:t>Fig 1.8</w:t>
            </w:r>
          </w:p>
        </w:tc>
      </w:tr>
      <w:tr>
        <w:tc>
          <w:tcPr>
            <w:tcW w:type="dxa" w:w="1701"/>
          </w:tcPr>
          <w:p>
            <w:pPr>
              <w:jc w:val="center"/>
            </w:pPr>
            <w:r/>
            <w:r>
              <w:rPr>
                <w:sz w:val="14"/>
              </w:rPr>
              <w:t>HY Corp. Bonds — Spread</w:t>
              <w:br/>
              <w:t>vs Treasuries</w:t>
            </w:r>
          </w:p>
        </w:tc>
        <w:tc>
          <w:tcPr>
            <w:tcW w:type="dxa" w:w="850"/>
          </w:tcPr>
          <w:p>
            <w:pPr>
              <w:jc w:val="center"/>
            </w:pPr>
            <w:r/>
            <w:r>
              <w:rPr>
                <w:sz w:val="14"/>
              </w:rPr>
              <w:t>US</w:t>
            </w:r>
          </w:p>
        </w:tc>
        <w:tc>
          <w:tcPr>
            <w:tcW w:type="dxa" w:w="1587"/>
          </w:tcPr>
          <w:p>
            <w:pPr>
              <w:jc w:val="center"/>
            </w:pPr>
            <w:r/>
            <w:r>
              <w:rPr>
                <w:sz w:val="14"/>
              </w:rPr>
              <w:t>~1.6 pp below</w:t>
              <w:br/>
              <w:t>historical median</w:t>
            </w:r>
          </w:p>
        </w:tc>
        <w:tc>
          <w:tcPr>
            <w:tcW w:type="dxa" w:w="1587"/>
          </w:tcPr>
          <w:p>
            <w:pPr>
              <w:jc w:val="center"/>
            </w:pPr>
            <w:r/>
            <w:r>
              <w:rPr>
                <w:color w:val="B40000"/>
                <w:sz w:val="14"/>
              </w:rPr>
              <w:t>Well below median;</w:t>
              <w:br/>
              <w:t>tight</w:t>
            </w:r>
          </w:p>
        </w:tc>
        <w:tc>
          <w:tcPr>
            <w:tcW w:type="dxa" w:w="1587"/>
          </w:tcPr>
          <w:p>
            <w:pPr>
              <w:jc w:val="center"/>
            </w:pPr>
            <w:r/>
            <w:r>
              <w:rPr>
                <w:sz w:val="14"/>
              </w:rPr>
              <w:t>Fed FSR Nov 2025,</w:t>
              <w:br/>
              <w:t>Fig 1.8</w:t>
            </w:r>
          </w:p>
        </w:tc>
      </w:tr>
      <w:tr>
        <w:tc>
          <w:tcPr>
            <w:tcW w:type="dxa" w:w="1701"/>
            <w:shd w:fill="EBF0F5" w:val="clear"/>
          </w:tcPr>
          <w:p>
            <w:pPr>
              <w:jc w:val="center"/>
            </w:pPr>
            <w:r/>
            <w:r>
              <w:rPr>
                <w:sz w:val="14"/>
              </w:rPr>
              <w:t>Excess Bond Premium</w:t>
              <w:br/>
              <w:t>(nonfinancial corporates)</w:t>
            </w:r>
          </w:p>
        </w:tc>
        <w:tc>
          <w:tcPr>
            <w:tcW w:type="dxa" w:w="850"/>
            <w:shd w:fill="EBF0F5" w:val="clear"/>
          </w:tcPr>
          <w:p>
            <w:pPr>
              <w:jc w:val="center"/>
            </w:pPr>
            <w:r/>
            <w:r>
              <w:rPr>
                <w:sz w:val="14"/>
              </w:rPr>
              <w:t>US</w:t>
            </w:r>
          </w:p>
        </w:tc>
        <w:tc>
          <w:tcPr>
            <w:tcW w:type="dxa" w:w="1587"/>
            <w:shd w:fill="EBF0F5" w:val="clear"/>
          </w:tcPr>
          <w:p>
            <w:pPr>
              <w:jc w:val="center"/>
            </w:pPr>
            <w:r/>
            <w:r>
              <w:rPr>
                <w:sz w:val="14"/>
              </w:rPr>
              <w:t>Below long-run</w:t>
              <w:br/>
              <w:t>average</w:t>
            </w:r>
          </w:p>
        </w:tc>
        <w:tc>
          <w:tcPr>
            <w:tcW w:type="dxa" w:w="1587"/>
            <w:shd w:fill="EBF0F5" w:val="clear"/>
          </w:tcPr>
          <w:p>
            <w:pPr>
              <w:jc w:val="center"/>
            </w:pPr>
            <w:r/>
            <w:r>
              <w:rPr>
                <w:color w:val="C85000"/>
                <w:sz w:val="14"/>
              </w:rPr>
              <w:t>Below median</w:t>
            </w:r>
          </w:p>
        </w:tc>
        <w:tc>
          <w:tcPr>
            <w:tcW w:type="dxa" w:w="1587"/>
            <w:shd w:fill="EBF0F5" w:val="clear"/>
          </w:tcPr>
          <w:p>
            <w:pPr>
              <w:jc w:val="center"/>
            </w:pPr>
            <w:r/>
            <w:r>
              <w:rPr>
                <w:sz w:val="14"/>
              </w:rPr>
              <w:t>Fed FSR Nov 2025,</w:t>
              <w:br/>
              <w:t>Fig 1.9</w:t>
            </w:r>
          </w:p>
        </w:tc>
      </w:tr>
      <w:tr>
        <w:tc>
          <w:tcPr>
            <w:tcW w:type="dxa" w:w="1701"/>
          </w:tcPr>
          <w:p>
            <w:pPr>
              <w:jc w:val="center"/>
            </w:pPr>
            <w:r/>
            <w:r>
              <w:rPr>
                <w:sz w:val="14"/>
              </w:rPr>
              <w:t>Leveraged Loan Spreads</w:t>
            </w:r>
          </w:p>
        </w:tc>
        <w:tc>
          <w:tcPr>
            <w:tcW w:type="dxa" w:w="850"/>
          </w:tcPr>
          <w:p>
            <w:pPr>
              <w:jc w:val="center"/>
            </w:pPr>
            <w:r/>
            <w:r>
              <w:rPr>
                <w:sz w:val="14"/>
              </w:rPr>
              <w:t>US</w:t>
            </w:r>
          </w:p>
        </w:tc>
        <w:tc>
          <w:tcPr>
            <w:tcW w:type="dxa" w:w="1587"/>
          </w:tcPr>
          <w:p>
            <w:pPr>
              <w:jc w:val="center"/>
            </w:pPr>
            <w:r/>
            <w:r>
              <w:rPr>
                <w:sz w:val="14"/>
              </w:rPr>
              <w:t>At low end of</w:t>
              <w:br/>
              <w:t>distribution</w:t>
            </w:r>
          </w:p>
        </w:tc>
        <w:tc>
          <w:tcPr>
            <w:tcW w:type="dxa" w:w="1587"/>
          </w:tcPr>
          <w:p>
            <w:pPr>
              <w:jc w:val="center"/>
            </w:pPr>
            <w:r/>
            <w:r>
              <w:rPr>
                <w:color w:val="B40000"/>
                <w:sz w:val="14"/>
              </w:rPr>
              <w:t>Low end since 2009</w:t>
            </w:r>
          </w:p>
        </w:tc>
        <w:tc>
          <w:tcPr>
            <w:tcW w:type="dxa" w:w="1587"/>
          </w:tcPr>
          <w:p>
            <w:pPr>
              <w:jc w:val="center"/>
            </w:pPr>
            <w:r/>
            <w:r>
              <w:rPr>
                <w:sz w:val="14"/>
              </w:rPr>
              <w:t>Fed FSR Nov 2025,</w:t>
              <w:br/>
              <w:t>Fig 1.10</w:t>
            </w:r>
          </w:p>
        </w:tc>
      </w:tr>
      <w:tr>
        <w:tc>
          <w:tcPr>
            <w:tcW w:type="dxa" w:w="1701"/>
            <w:shd w:fill="EBF0F5" w:val="clear"/>
          </w:tcPr>
          <w:p>
            <w:pPr>
              <w:jc w:val="center"/>
            </w:pPr>
            <w:r/>
            <w:r>
              <w:rPr>
                <w:sz w:val="14"/>
              </w:rPr>
              <w:t>Corporate Bond Spreads</w:t>
              <w:br/>
              <w:t>(general)</w:t>
            </w:r>
          </w:p>
        </w:tc>
        <w:tc>
          <w:tcPr>
            <w:tcW w:type="dxa" w:w="850"/>
            <w:shd w:fill="EBF0F5" w:val="clear"/>
          </w:tcPr>
          <w:p>
            <w:pPr>
              <w:jc w:val="center"/>
            </w:pPr>
            <w:r/>
            <w:r>
              <w:rPr>
                <w:sz w:val="14"/>
              </w:rPr>
              <w:t>Euro area</w:t>
            </w:r>
          </w:p>
        </w:tc>
        <w:tc>
          <w:tcPr>
            <w:tcW w:type="dxa" w:w="1587"/>
            <w:shd w:fill="EBF0F5" w:val="clear"/>
          </w:tcPr>
          <w:p>
            <w:pPr>
              <w:jc w:val="center"/>
            </w:pPr>
            <w:r/>
            <w:r>
              <w:rPr>
                <w:sz w:val="14"/>
              </w:rPr>
              <w:t>Compressed; pre-existing</w:t>
              <w:br/>
              <w:t>pattern restored</w:t>
            </w:r>
          </w:p>
        </w:tc>
        <w:tc>
          <w:tcPr>
            <w:tcW w:type="dxa" w:w="1587"/>
            <w:shd w:fill="EBF0F5" w:val="clear"/>
          </w:tcPr>
          <w:p>
            <w:pPr>
              <w:jc w:val="center"/>
            </w:pPr>
            <w:r/>
            <w:r>
              <w:rPr>
                <w:color w:val="B40000"/>
                <w:sz w:val="14"/>
              </w:rPr>
              <w:t>Tight / elevated</w:t>
              <w:br/>
              <w:t>vulnerability</w:t>
            </w:r>
          </w:p>
        </w:tc>
        <w:tc>
          <w:tcPr>
            <w:tcW w:type="dxa" w:w="1587"/>
            <w:shd w:fill="EBF0F5" w:val="clear"/>
          </w:tcPr>
          <w:p>
            <w:pPr>
              <w:jc w:val="center"/>
            </w:pPr>
            <w:r/>
            <w:r>
              <w:rPr>
                <w:sz w:val="14"/>
              </w:rPr>
              <w:t>ECB FSR May 2025,</w:t>
              <w:br/>
              <w:t>Section 2.2, Chart 3</w:t>
            </w:r>
          </w:p>
        </w:tc>
      </w:tr>
      <w:tr>
        <w:tc>
          <w:tcPr>
            <w:tcW w:type="dxa" w:w="1701"/>
          </w:tcPr>
          <w:p>
            <w:pPr>
              <w:jc w:val="center"/>
            </w:pPr>
            <w:r/>
            <w:r>
              <w:rPr>
                <w:sz w:val="14"/>
              </w:rPr>
              <w:t>CRE Prices</w:t>
              <w:br/>
              <w:t>(real, YoY growth)</w:t>
            </w:r>
          </w:p>
        </w:tc>
        <w:tc>
          <w:tcPr>
            <w:tcW w:type="dxa" w:w="850"/>
          </w:tcPr>
          <w:p>
            <w:pPr>
              <w:jc w:val="center"/>
            </w:pPr>
            <w:r/>
            <w:r>
              <w:rPr>
                <w:sz w:val="14"/>
              </w:rPr>
              <w:t>US</w:t>
            </w:r>
          </w:p>
        </w:tc>
        <w:tc>
          <w:tcPr>
            <w:tcW w:type="dxa" w:w="1587"/>
          </w:tcPr>
          <w:p>
            <w:pPr>
              <w:jc w:val="center"/>
            </w:pPr>
            <w:r/>
            <w:r>
              <w:rPr>
                <w:sz w:val="14"/>
              </w:rPr>
              <w:t>−5.6%</w:t>
            </w:r>
          </w:p>
        </w:tc>
        <w:tc>
          <w:tcPr>
            <w:tcW w:type="dxa" w:w="1587"/>
          </w:tcPr>
          <w:p>
            <w:pPr>
              <w:jc w:val="center"/>
            </w:pPr>
            <w:r/>
            <w:r>
              <w:rPr>
                <w:color w:val="C85000"/>
                <w:sz w:val="14"/>
              </w:rPr>
              <w:t>Below hist. avg.</w:t>
              <w:br/>
              <w:t>(+5.4% avg.)</w:t>
            </w:r>
          </w:p>
        </w:tc>
        <w:tc>
          <w:tcPr>
            <w:tcW w:type="dxa" w:w="1587"/>
          </w:tcPr>
          <w:p>
            <w:pPr>
              <w:jc w:val="center"/>
            </w:pPr>
            <w:r/>
            <w:r>
              <w:rPr>
                <w:sz w:val="14"/>
              </w:rPr>
              <w:t>Fed FSR Nov 2025,</w:t>
              <w:br/>
              <w:t>Table 1.1</w:t>
            </w:r>
          </w:p>
        </w:tc>
      </w:tr>
      <w:tr>
        <w:tc>
          <w:tcPr>
            <w:tcW w:type="dxa" w:w="1701"/>
            <w:shd w:fill="EBF0F5" w:val="clear"/>
          </w:tcPr>
          <w:p>
            <w:pPr>
              <w:jc w:val="center"/>
            </w:pPr>
            <w:r/>
            <w:r>
              <w:rPr>
                <w:sz w:val="14"/>
              </w:rPr>
              <w:t>Residential RE Prices</w:t>
              <w:br/>
              <w:t>(real, YoY growth)</w:t>
            </w:r>
          </w:p>
        </w:tc>
        <w:tc>
          <w:tcPr>
            <w:tcW w:type="dxa" w:w="850"/>
            <w:shd w:fill="EBF0F5" w:val="clear"/>
          </w:tcPr>
          <w:p>
            <w:pPr>
              <w:jc w:val="center"/>
            </w:pPr>
            <w:r/>
            <w:r>
              <w:rPr>
                <w:sz w:val="14"/>
              </w:rPr>
              <w:t>US</w:t>
            </w:r>
          </w:p>
        </w:tc>
        <w:tc>
          <w:tcPr>
            <w:tcW w:type="dxa" w:w="1587"/>
            <w:shd w:fill="EBF0F5" w:val="clear"/>
          </w:tcPr>
          <w:p>
            <w:pPr>
              <w:jc w:val="center"/>
            </w:pPr>
            <w:r/>
            <w:r>
              <w:rPr>
                <w:sz w:val="14"/>
              </w:rPr>
              <w:t>+1.4%</w:t>
            </w:r>
          </w:p>
        </w:tc>
        <w:tc>
          <w:tcPr>
            <w:tcW w:type="dxa" w:w="1587"/>
            <w:shd w:fill="EBF0F5" w:val="clear"/>
          </w:tcPr>
          <w:p>
            <w:pPr>
              <w:jc w:val="center"/>
            </w:pPr>
            <w:r/>
            <w:r>
              <w:rPr>
                <w:color w:val="C85000"/>
                <w:sz w:val="14"/>
              </w:rPr>
              <w:t>Below hist. avg.</w:t>
              <w:br/>
              <w:t>(+6.2% avg.)</w:t>
            </w:r>
          </w:p>
        </w:tc>
        <w:tc>
          <w:tcPr>
            <w:tcW w:type="dxa" w:w="1587"/>
            <w:shd w:fill="EBF0F5" w:val="clear"/>
          </w:tcPr>
          <w:p>
            <w:pPr>
              <w:jc w:val="center"/>
            </w:pPr>
            <w:r/>
            <w:r>
              <w:rPr>
                <w:sz w:val="14"/>
              </w:rPr>
              <w:t>Fed FSR Nov 2025,</w:t>
              <w:br/>
              <w:t>Table 1.1</w:t>
            </w:r>
          </w:p>
        </w:tc>
      </w:tr>
      <w:tr>
        <w:tc>
          <w:tcPr>
            <w:tcW w:type="dxa" w:w="1701"/>
          </w:tcPr>
          <w:p>
            <w:pPr>
              <w:jc w:val="center"/>
            </w:pPr>
            <w:r/>
            <w:r>
              <w:rPr>
                <w:sz w:val="14"/>
              </w:rPr>
              <w:t>Real Estate Markets</w:t>
              <w:br/>
              <w:t>(general)</w:t>
            </w:r>
          </w:p>
        </w:tc>
        <w:tc>
          <w:tcPr>
            <w:tcW w:type="dxa" w:w="850"/>
          </w:tcPr>
          <w:p>
            <w:pPr>
              <w:jc w:val="center"/>
            </w:pPr>
            <w:r/>
            <w:r>
              <w:rPr>
                <w:sz w:val="14"/>
              </w:rPr>
              <w:t>Euro area</w:t>
            </w:r>
          </w:p>
        </w:tc>
        <w:tc>
          <w:tcPr>
            <w:tcW w:type="dxa" w:w="1587"/>
          </w:tcPr>
          <w:p>
            <w:pPr>
              <w:jc w:val="center"/>
            </w:pPr>
            <w:r/>
            <w:r>
              <w:rPr>
                <w:sz w:val="14"/>
              </w:rPr>
              <w:t>Recovering but facing</w:t>
              <w:br/>
              <w:t>headwinds</w:t>
            </w:r>
          </w:p>
        </w:tc>
        <w:tc>
          <w:tcPr>
            <w:tcW w:type="dxa" w:w="1587"/>
          </w:tcPr>
          <w:p>
            <w:pPr>
              <w:jc w:val="center"/>
            </w:pPr>
            <w:r/>
            <w:r>
              <w:rPr>
                <w:color w:val="006400"/>
                <w:sz w:val="14"/>
              </w:rPr>
              <w:t>Moderate; uncertainty</w:t>
              <w:br/>
              <w:t>poses risks</w:t>
            </w:r>
          </w:p>
        </w:tc>
        <w:tc>
          <w:tcPr>
            <w:tcW w:type="dxa" w:w="1587"/>
          </w:tcPr>
          <w:p>
            <w:pPr>
              <w:jc w:val="center"/>
            </w:pPr>
            <w:r/>
            <w:r>
              <w:rPr>
                <w:sz w:val="14"/>
              </w:rPr>
              <w:t>ECB FSR May 2025,</w:t>
              <w:br/>
              <w:t>Section 1.5</w:t>
            </w:r>
          </w:p>
        </w:tc>
      </w:tr>
      <w:tr>
        <w:tc>
          <w:tcPr>
            <w:tcW w:type="dxa" w:w="1701"/>
            <w:shd w:fill="EBF0F5" w:val="clear"/>
          </w:tcPr>
          <w:p>
            <w:pPr>
              <w:jc w:val="center"/>
            </w:pPr>
            <w:r/>
            <w:r>
              <w:rPr>
                <w:sz w:val="14"/>
              </w:rPr>
              <w:t>Sovereign Spreads</w:t>
              <w:br/>
              <w:t>(10Y vs Bund)</w:t>
            </w:r>
          </w:p>
        </w:tc>
        <w:tc>
          <w:tcPr>
            <w:tcW w:type="dxa" w:w="850"/>
            <w:shd w:fill="EBF0F5" w:val="clear"/>
          </w:tcPr>
          <w:p>
            <w:pPr>
              <w:jc w:val="center"/>
            </w:pPr>
            <w:r/>
            <w:r>
              <w:rPr>
                <w:sz w:val="14"/>
              </w:rPr>
              <w:t>Euro area</w:t>
            </w:r>
          </w:p>
        </w:tc>
        <w:tc>
          <w:tcPr>
            <w:tcW w:type="dxa" w:w="1587"/>
            <w:shd w:fill="EBF0F5" w:val="clear"/>
          </w:tcPr>
          <w:p>
            <w:pPr>
              <w:jc w:val="center"/>
            </w:pPr>
            <w:r/>
            <w:r>
              <w:rPr>
                <w:sz w:val="14"/>
              </w:rPr>
              <w:t>Distribution widened;</w:t>
              <w:br/>
              <w:t>country-specific stress</w:t>
            </w:r>
          </w:p>
        </w:tc>
        <w:tc>
          <w:tcPr>
            <w:tcW w:type="dxa" w:w="1587"/>
            <w:shd w:fill="EBF0F5" w:val="clear"/>
          </w:tcPr>
          <w:p>
            <w:pPr>
              <w:jc w:val="center"/>
            </w:pPr>
            <w:r/>
            <w:r>
              <w:rPr>
                <w:color w:val="B40000"/>
                <w:sz w:val="14"/>
              </w:rPr>
              <w:t>Fragmentation risk</w:t>
              <w:br/>
              <w:t>elevated</w:t>
            </w:r>
          </w:p>
        </w:tc>
        <w:tc>
          <w:tcPr>
            <w:tcW w:type="dxa" w:w="1587"/>
            <w:shd w:fill="EBF0F5" w:val="clear"/>
          </w:tcPr>
          <w:p>
            <w:pPr>
              <w:jc w:val="center"/>
            </w:pPr>
            <w:r/>
            <w:r>
              <w:rPr>
                <w:sz w:val="14"/>
              </w:rPr>
              <w:t>ECB FSR Nov 2025,</w:t>
              <w:br/>
              <w:t>Chart 1.4, Chart 3</w:t>
            </w:r>
          </w:p>
        </w:tc>
      </w:tr>
      <w:tr>
        <w:tc>
          <w:tcPr>
            <w:tcW w:type="dxa" w:w="1701"/>
          </w:tcPr>
          <w:p>
            <w:pPr>
              <w:jc w:val="center"/>
            </w:pPr>
            <w:r/>
            <w:r>
              <w:rPr>
                <w:sz w:val="14"/>
              </w:rPr>
              <w:t>Treasury Term Premium</w:t>
              <w:br/>
              <w:t>(nominal)</w:t>
            </w:r>
          </w:p>
        </w:tc>
        <w:tc>
          <w:tcPr>
            <w:tcW w:type="dxa" w:w="850"/>
          </w:tcPr>
          <w:p>
            <w:pPr>
              <w:jc w:val="center"/>
            </w:pPr>
            <w:r/>
            <w:r>
              <w:rPr>
                <w:sz w:val="14"/>
              </w:rPr>
              <w:t>US</w:t>
            </w:r>
          </w:p>
        </w:tc>
        <w:tc>
          <w:tcPr>
            <w:tcW w:type="dxa" w:w="1587"/>
          </w:tcPr>
          <w:p>
            <w:pPr>
              <w:jc w:val="center"/>
            </w:pPr>
            <w:r/>
            <w:r>
              <w:rPr>
                <w:sz w:val="14"/>
              </w:rPr>
              <w:t>Near historical</w:t>
              <w:br/>
              <w:t>median</w:t>
            </w:r>
          </w:p>
        </w:tc>
        <w:tc>
          <w:tcPr>
            <w:tcW w:type="dxa" w:w="1587"/>
          </w:tcPr>
          <w:p>
            <w:pPr>
              <w:jc w:val="center"/>
            </w:pPr>
            <w:r/>
            <w:r>
              <w:rPr>
                <w:color w:val="006400"/>
                <w:sz w:val="14"/>
              </w:rPr>
              <w:t>~50th percentile</w:t>
            </w:r>
          </w:p>
        </w:tc>
        <w:tc>
          <w:tcPr>
            <w:tcW w:type="dxa" w:w="1587"/>
          </w:tcPr>
          <w:p>
            <w:pPr>
              <w:jc w:val="center"/>
            </w:pPr>
            <w:r/>
            <w:r>
              <w:rPr>
                <w:sz w:val="14"/>
              </w:rPr>
              <w:t>Fed FSR Nov 2025,</w:t>
              <w:br/>
              <w:t>Fig 1.2</w:t>
            </w:r>
          </w:p>
        </w:tc>
      </w:tr>
      <w:tr>
        <w:tc>
          <w:tcPr>
            <w:tcW w:type="dxa" w:w="1701"/>
            <w:shd w:fill="EBF0F5" w:val="clear"/>
          </w:tcPr>
          <w:p>
            <w:pPr>
              <w:jc w:val="center"/>
            </w:pPr>
            <w:r/>
            <w:r>
              <w:rPr>
                <w:sz w:val="14"/>
              </w:rPr>
              <w:t>Equity Volatility (VIX)</w:t>
            </w:r>
          </w:p>
        </w:tc>
        <w:tc>
          <w:tcPr>
            <w:tcW w:type="dxa" w:w="850"/>
            <w:shd w:fill="EBF0F5" w:val="clear"/>
          </w:tcPr>
          <w:p>
            <w:pPr>
              <w:jc w:val="center"/>
            </w:pPr>
            <w:r/>
            <w:r>
              <w:rPr>
                <w:sz w:val="14"/>
              </w:rPr>
              <w:t>US</w:t>
            </w:r>
          </w:p>
        </w:tc>
        <w:tc>
          <w:tcPr>
            <w:tcW w:type="dxa" w:w="1587"/>
            <w:shd w:fill="EBF0F5" w:val="clear"/>
          </w:tcPr>
          <w:p>
            <w:pPr>
              <w:jc w:val="center"/>
            </w:pPr>
            <w:r/>
            <w:r>
              <w:rPr>
                <w:sz w:val="14"/>
              </w:rPr>
              <w:t>Below historical</w:t>
              <w:br/>
              <w:t>median</w:t>
            </w:r>
          </w:p>
        </w:tc>
        <w:tc>
          <w:tcPr>
            <w:tcW w:type="dxa" w:w="1587"/>
            <w:shd w:fill="EBF0F5" w:val="clear"/>
          </w:tcPr>
          <w:p>
            <w:pPr>
              <w:jc w:val="center"/>
            </w:pPr>
            <w:r/>
            <w:r>
              <w:rPr>
                <w:color w:val="C85000"/>
                <w:sz w:val="14"/>
              </w:rPr>
              <w:t>Below median;</w:t>
              <w:br/>
              <w:t>subdued</w:t>
            </w:r>
          </w:p>
        </w:tc>
        <w:tc>
          <w:tcPr>
            <w:tcW w:type="dxa" w:w="1587"/>
            <w:shd w:fill="EBF0F5" w:val="clear"/>
          </w:tcPr>
          <w:p>
            <w:pPr>
              <w:jc w:val="center"/>
            </w:pPr>
            <w:r/>
            <w:r>
              <w:rPr>
                <w:sz w:val="14"/>
              </w:rPr>
              <w:t>Fed FSR Nov 2025,</w:t>
              <w:br/>
              <w:t>Fig 1.6</w:t>
            </w:r>
          </w:p>
        </w:tc>
      </w:tr>
      <w:tr>
        <w:tc>
          <w:tcPr>
            <w:tcW w:type="dxa" w:w="1701"/>
          </w:tcPr>
          <w:p>
            <w:pPr>
              <w:jc w:val="center"/>
            </w:pPr>
            <w:r/>
            <w:r>
              <w:rPr>
                <w:sz w:val="14"/>
              </w:rPr>
              <w:t>Gold Price</w:t>
            </w:r>
          </w:p>
        </w:tc>
        <w:tc>
          <w:tcPr>
            <w:tcW w:type="dxa" w:w="850"/>
          </w:tcPr>
          <w:p>
            <w:pPr>
              <w:jc w:val="center"/>
            </w:pPr>
            <w:r/>
            <w:r>
              <w:rPr>
                <w:sz w:val="14"/>
              </w:rPr>
              <w:t>Global</w:t>
            </w:r>
          </w:p>
        </w:tc>
        <w:tc>
          <w:tcPr>
            <w:tcW w:type="dxa" w:w="1587"/>
          </w:tcPr>
          <w:p>
            <w:pPr>
              <w:jc w:val="center"/>
            </w:pPr>
            <w:r/>
            <w:r>
              <w:rPr>
                <w:sz w:val="14"/>
              </w:rPr>
              <w:t>Record highs</w:t>
            </w:r>
          </w:p>
        </w:tc>
        <w:tc>
          <w:tcPr>
            <w:tcW w:type="dxa" w:w="1587"/>
          </w:tcPr>
          <w:p>
            <w:pPr>
              <w:jc w:val="center"/>
            </w:pPr>
            <w:r/>
            <w:r>
              <w:rPr>
                <w:color w:val="B40000"/>
                <w:sz w:val="14"/>
              </w:rPr>
              <w:t>Elevated; signals risk</w:t>
              <w:br/>
              <w:t>perception shift</w:t>
            </w:r>
          </w:p>
        </w:tc>
        <w:tc>
          <w:tcPr>
            <w:tcW w:type="dxa" w:w="1587"/>
          </w:tcPr>
          <w:p>
            <w:pPr>
              <w:jc w:val="center"/>
            </w:pPr>
            <w:r/>
            <w:r>
              <w:rPr>
                <w:sz w:val="14"/>
              </w:rPr>
              <w:t>ECB FSR May 2025,</w:t>
              <w:br/>
              <w:t>Box 2</w:t>
            </w:r>
          </w:p>
        </w:tc>
      </w:tr>
    </w:tbl>
    <w:p>
      <w:r>
        <w:rPr>
          <w:b/>
          <w:sz w:val="18"/>
        </w:rPr>
        <w:t xml:space="preserve">Table 1: </w:t>
      </w:r>
      <w:r>
        <w:rPr>
          <w:i/>
          <w:sz w:val="18"/>
        </w:rPr>
        <w:t>Key asset valuation indicators — euro area and United States, late 2025</w:t>
      </w:r>
    </w:p>
    <w:p>
      <w:r>
        <w:rPr>
          <w:b/>
          <w:sz w:val="16"/>
        </w:rPr>
        <w:t xml:space="preserve">Sources: </w:t>
      </w:r>
      <w:r>
        <w:rPr>
          <w:i/>
          <w:sz w:val="16"/>
        </w:rPr>
        <w:t>ECB Financial Stability Review, May 2025 and November 2025; Federal Reserve Board, Financial Stability Report, November 2025. Note: Qualitative assessments are from ECB FSR narratives; quantitative figures from Fed FSR where precise values cited.</w:t>
      </w:r>
    </w:p>
    <w:p/>
    <w:p>
      <w:pPr>
        <w:pStyle w:val="Heading1"/>
      </w:pPr>
      <w:r>
        <w:rPr>
          <w:color w:val="003366"/>
        </w:rPr>
        <w:t>3. Detailed Analysis by Asset Class</w:t>
      </w:r>
    </w:p>
    <w:p>
      <w:pPr>
        <w:pStyle w:val="Heading2"/>
      </w:pPr>
      <w:r>
        <w:rPr>
          <w:color w:val="003366"/>
        </w:rPr>
        <w:t>3.1 Equity Markets</w:t>
      </w:r>
    </w:p>
    <w:p>
      <w:r>
        <w:rPr>
          <w:b w:val="0"/>
          <w:i w:val="0"/>
          <w:sz w:val="22"/>
        </w:rPr>
        <w:t>Equity markets in both jurisdictions exhibit stretched valuations. According to the Fed FSR (November 2025), the S&amp;P 500 forward P/E ratio remains close to the upper end of its historical range (Figure 1.4), while the equity risk premium—the gap between the earnings yield and the real 10-year Treasury yield—stands near a 20-year low (Figure 1.5). These indicators suggest US equities are priced for a highly favourable scenario with little buffer against disappointing earnings or rising discount rates.</w:t>
      </w:r>
    </w:p>
    <w:p>
      <w:r>
        <w:rPr>
          <w:b w:val="0"/>
          <w:i w:val="0"/>
          <w:sz w:val="22"/>
        </w:rPr>
        <w:t>For the euro area, the May 2025 ECB FSR explicitly characterises equity and credit valuations as 'stretched' with 'high valuations and increasing risk concentration' (Overview, Chart 3). The EURO STOXX 50 recovered rapidly after the April tariff shock—regaining most initial losses by mid-May (Chart 2, panel b)—against deteriorating growth forecasts (Chart 2, panel a). Manufacturing firms—disproportionately trade-exposed—face deteriorating order books and compressed Altman Z-scores (ECB FSR, November 2025, Chart 1.6). Compounding these concerns, financial and synthetic leverage of euro area investment funds rose between 2021 and 2024 (ECB FSR, May 2025, Chart 3, panel c), creating potential for forced deleveraging that could magnify price declines in a renewed shock.</w:t>
      </w:r>
    </w:p>
    <w:p>
      <w:pPr>
        <w:pStyle w:val="Heading2"/>
      </w:pPr>
      <w:r>
        <w:rPr>
          <w:color w:val="003366"/>
        </w:rPr>
        <w:t>3.2 Corporate Credit Markets</w:t>
      </w:r>
    </w:p>
    <w:p>
      <w:r>
        <w:rPr>
          <w:b w:val="0"/>
          <w:i w:val="0"/>
          <w:sz w:val="22"/>
        </w:rPr>
        <w:t>Corporate credit spreads present the most striking divergence between market pricing and fundamental risks. In the United States, triple-B spreads stood approximately 0.7 percentage points below their historical median as of October 2025, while high-yield spreads were roughly 1.6 percentage points below the median (Fed FSR, November 2025, Figure 1.8). The excess bond premium was below its long-run average (Figure 1.9), and leveraged loan spreads remained at the low end of their distribution since 2009 (Figure 1.10). These compressed risk premiums indicate that credit markets are pricing in a 'soft landing' scenario.</w:t>
      </w:r>
    </w:p>
    <w:p>
      <w:r>
        <w:rPr>
          <w:b w:val="0"/>
          <w:i w:val="0"/>
          <w:sz w:val="22"/>
        </w:rPr>
        <w:t>For the euro area, corporate vulnerabilities 'remain elevated, especially for manufacturing firms, as the broader impact of US tariffs is felt' (ECB FSR, November 2025, Chart 1.6). The debt service ratio remains above pre-tightening levels, bankruptcies have risen above pre-pandemic norms (Chart 1.5), and new loan volumes are 7% below the 2022–25 average. The ECB's corporate vulnerability index is forecast to remain in positive territory through 2028 (Chart 1.6, panel b), suggesting markets are under-pricing the persistence of credit headwinds. In this context, the compression of spreads represents a material vulnerability.</w:t>
      </w:r>
    </w:p>
    <w:p>
      <w:pPr>
        <w:pStyle w:val="Heading2"/>
      </w:pPr>
      <w:r>
        <w:rPr>
          <w:color w:val="003366"/>
        </w:rPr>
        <w:t>3.3 Sovereign Bond Markets</w:t>
      </w:r>
    </w:p>
    <w:p>
      <w:r>
        <w:rPr>
          <w:b w:val="0"/>
          <w:i w:val="0"/>
          <w:sz w:val="22"/>
        </w:rPr>
        <w:t>Sovereign bond markets in the euro area face a differentiated picture, but tail risks are building for high-debt countries. The ECB FSR (November 2025) documents a widening in the distribution of ten-year sovereign spreads versus Bunds, warning that 'higher issuance and funding costs could strain weak sovereigns, with fiscal slippage or external fiscal stress potentially leading to renewed sovereign fragmentation' (Overview, Chart 3). Defence spending needs amplify this concern: the national escape clause was activated for 11 euro area countries (Section 1), and several high-debt sovereigns face substantial near-term refinancing needs alongside rising interest costs (ECB FSR, May 2025, Chart 5). The sovereign-bank nexus remains a structural vulnerability through which rating actions and spread widening can transmit stress to bank balance sheets and corporate borrowing conditions.</w:t>
      </w:r>
    </w:p>
    <w:p>
      <w:pPr>
        <w:pStyle w:val="Heading2"/>
      </w:pPr>
      <w:r>
        <w:rPr>
          <w:color w:val="003366"/>
        </w:rPr>
        <w:t>3.4 Real Estate Markets</w:t>
      </w:r>
    </w:p>
    <w:p>
      <w:r>
        <w:rPr>
          <w:b w:val="0"/>
          <w:i w:val="0"/>
          <w:sz w:val="22"/>
        </w:rPr>
        <w:t>Real estate markets present a more mixed assessment. In the United States, CRE prices declined by 5.6% in real terms over the year to mid-2025, well below the long-run average of 5.4% (Fed FSR, November 2025, Table 1.1). Residential real estate price growth moderated to 1.4% versus a 6.2% historical average. For the euro area, the ECB FSR (May 2025) observed that 'recovering real estate markets may face headwinds from elevated uncertainty' (Section 1.5). Tighter financing conditions and slower growth may weigh on commercial property valuations, with spillovers to banks and non-bank lenders holding significant CRE exposures.</w:t>
      </w:r>
    </w:p>
    <w:p>
      <w:pPr>
        <w:pStyle w:val="Heading1"/>
      </w:pPr>
      <w:r>
        <w:rPr>
          <w:color w:val="003366"/>
        </w:rPr>
        <w:t>4. The Most Stretched Asset Classes</w:t>
      </w:r>
    </w:p>
    <w:p>
      <w:pPr>
        <w:pStyle w:val="Heading2"/>
      </w:pPr>
      <w:r>
        <w:rPr>
          <w:color w:val="003366"/>
        </w:rPr>
        <w:t>4.1 Euro Area</w:t>
      </w:r>
    </w:p>
    <w:p>
      <w:r>
        <w:rPr>
          <w:b w:val="0"/>
          <w:i w:val="0"/>
          <w:sz w:val="22"/>
        </w:rPr>
        <w:t>Based on the assembled indicators, the two most stretched asset classes in the euro area are (i) equities and (ii) corporate credit. Euro area equities are assessed as stretched based on the ECB FSR's (May 2025) characterisation of valuations as 'high' with 'increasing risk concentration' (Overview, Chart 3). The rapid post-tariff recovery—against deteriorating growth and rising bankruptcies—suggests valuations discount an improbably benign scenario. The rotation of fund flows from the United States to the euro area (Chart 2, panel c) may have provided temporary support that could reverse if US assets regain safe-haven appeal. For corporate credit, the compression of spreads coexists with deteriorating fundamentals: the corporate vulnerability index is forecast to remain elevated through 2028 (ECB FSR, November 2025, Chart 1.6, panel b), and bankruptcies have risen decisively above pre-pandemic benchmarks. This divergence between market pricing and credit quality represents a classic vulnerability build-up that historically has unwound rapidly once risk sentiment turns.</w:t>
      </w:r>
    </w:p>
    <w:p>
      <w:pPr>
        <w:pStyle w:val="Heading2"/>
      </w:pPr>
      <w:r>
        <w:rPr>
          <w:color w:val="003366"/>
        </w:rPr>
        <w:t>4.2 United States</w:t>
      </w:r>
    </w:p>
    <w:p>
      <w:r>
        <w:rPr>
          <w:b w:val="0"/>
          <w:i w:val="0"/>
          <w:sz w:val="22"/>
        </w:rPr>
        <w:t>In the United States, the two most stretched classes are (i) equities (S&amp;P 500) and (ii) high-yield corporate bonds. The S&amp;P 500 forward P/E near the upper end of its historical range (~90th percentile or above, Figure 1.4), combined with an equity risk premium near a 20-year low (Figure 1.5), places US equity valuations in exceptionally thin territory. For high-yield credit, spreads approximately 1.6 percentage points below the historical median (Figure 1.8), leveraged loan spreads at the low end of their distribution since 2009 (Figure 1.10), and the excess bond premium below its long-run average (Figure 1.9) together signal a degree of compression that historically has preceded sharp repricing episodes.</w:t>
      </w:r>
    </w:p>
    <w:p>
      <w:pPr>
        <w:pStyle w:val="Heading1"/>
      </w:pPr>
      <w:r>
        <w:rPr>
          <w:color w:val="003366"/>
        </w:rPr>
        <w:t>5. Potential Triggers for a Sharp Repricing of Risk</w:t>
      </w:r>
    </w:p>
    <w:p>
      <w:r>
        <w:rPr>
          <w:b w:val="0"/>
          <w:i w:val="0"/>
          <w:sz w:val="22"/>
        </w:rPr>
        <w:t>Several interrelated triggers could catalyse a sharp repricing across stretched asset classes. The predominant risk, identified by both the ECB and Fed FSRs, is a further escalation of trade tensions. The US effective tariff rate has already risen sharply, and global trade policy uncertainty remains far above its 2015–24 average (ECB FSR, November 2025, Chart 1.1). As the ECB FSR (May 2025) cautions, 'concerns remain that these tensions could escalate into a trade war with the potential for significant adverse impacts on global growth, inflation and asset prices.' A new round of tariff announcements—or expiry of the 90-day pause without durable agreements—could trigger cross-asset volatility similar to April, but without the policy-relief expectations that supported the subsequent rebound.</w:t>
      </w:r>
    </w:p>
    <w:p>
      <w:r>
        <w:rPr>
          <w:b w:val="0"/>
          <w:i w:val="0"/>
          <w:sz w:val="22"/>
        </w:rPr>
        <w:t>Fiscal sustainability concerns represent a second trigger, particularly for the euro area. Higher issuance volumes and rising funding costs could strain weak sovereigns, with the risk of 'renewed sovereign fragmentation' (ECB FSR, November 2025, Overview, Chart 3). Countries with debt-to-GDP ratios above 100% face the combined pressures of rising defence spending and substantial short-term refinancing needs (ECB FSR, May 2025, Chart 5). A reassessment of sovereign credit risk could trigger spread widening that feeds through to bank funding costs and corporate borrowing conditions via the sovereign-bank-corporate nexus.</w:t>
      </w:r>
    </w:p>
    <w:p>
      <w:r>
        <w:rPr>
          <w:b w:val="0"/>
          <w:i w:val="0"/>
          <w:sz w:val="22"/>
        </w:rPr>
        <w:t>Third, persistent inflation and a 'higher-for-longer' rate environment pose a direct threat to stretched valuations. The Fed FSR (November 2025) lists persistent inflation and higher long-term rates among the top risks cited by survey respondents. A repricing of the rate path would raise discount rates while increasing debt service burdens. The corporate debt service ratio remains elevated in the euro area (ECB FSR, November 2025, Chart 1.5), and household resilience—though supported by savings—could weaken if layoffs in tariff-sensitive manufacturing erode debt servicing capacity (Overview, Chart 4).</w:t>
      </w:r>
    </w:p>
    <w:p>
      <w:r>
        <w:rPr>
          <w:b w:val="0"/>
          <w:i w:val="0"/>
          <w:sz w:val="22"/>
        </w:rPr>
        <w:t>Fourth, feedback loops between asset valuations and the real economy could amplify an initial shock. The ECB FSR (November 2025) discusses the 'hidden threat of rolling recessions' (Box 1), whereby localised sectoral shocks—starting in trade-exposed manufacturing—propagate through supply chains, labour markets, and credit channels. The Fed FSR (November 2025) notes that credit card and auto loan delinquencies remain above pre-pandemic levels (Section 2), providing a channel through which asset price declines could translate into consumer credit losses.</w:t>
      </w:r>
    </w:p>
    <w:p>
      <w:r>
        <w:rPr>
          <w:b w:val="0"/>
          <w:i w:val="0"/>
          <w:sz w:val="22"/>
        </w:rPr>
        <w:t>Finally, non-bank financial intermediation (NBFI) introduces liquidity-driven amplification. The ECB FSR (May 2025) documents increased leverage among euro area investment funds (Chart 3, panel c), while the November 2025 edition devotes a special feature to systemic bank-NBFI linkages. The Fed FSR (November 2025) reports that hedge fund leverage has 'steadily increased across a broad range of strategies' (Section 3). In a stress scenario, margin calls, redemption pressures, and forced deleveraging by non-banks could amplify price dislocations—a dynamic glimpsed during April 2025, when investors 'needing to raise liquidity to meet fund redemptions or margin calls' contributed to atypical safe-haven behaviour (ECB FSR, May 2025, Overview).</w:t>
      </w:r>
    </w:p>
    <w:p>
      <w:pPr>
        <w:pStyle w:val="Heading1"/>
      </w:pPr>
      <w:r>
        <w:rPr>
          <w:color w:val="003366"/>
        </w:rPr>
        <w:t>6. Vulnerability Rating and Conclusion</w:t>
      </w:r>
    </w:p>
    <w:p>
      <w:r>
        <w:rPr>
          <w:b w:val="0"/>
          <w:i w:val="0"/>
          <w:sz w:val="22"/>
        </w:rPr>
        <w:t>Taking into account stretched equity valuations, compressed corporate credit spreads, building sovereign fragmentation risks, and the material probability of adverse shocks—from trade escalation, fiscal sustainability concerns, persistent inflation, and NBFI amplification dynamics—the overall vulnerability rating for euro area asset valuations is assessed as elevated. This rating reflects the assessment that current valuations embed risk premiums too narrow relative to the fundamental uncertainty facing the euro area economy, and that the capacity for disorderly repricing is heightened by fragilities in the non-bank financial sector.</w:t>
      </w:r>
    </w:p>
    <w:p>
      <w:r>
        <w:rPr>
          <w:b w:val="0"/>
          <w:i w:val="0"/>
          <w:sz w:val="22"/>
        </w:rPr>
        <w:t>The elevated rating does not imply that a sharp correction is imminent. Near-term supports include the prospect of ECB monetary easing, the rotation of portfolio flows towards euro area assets documented after the April episode (ECB FSR, May 2025, Chart 2, panel c), and the possibility that fiscal expansion linked to defence and infrastructure provides a cyclical boost. However, these factors are contingent on an orderly policy environment. In a scenario of further trade disruption, simultaneous fiscal pressure, or a disorderly rise in sovereign yields, the current valuation cushion appears insufficient to prevent a self-reinforcing cycle of falling asset prices, tighter financial conditions, and weakening economic activity. This assessment underscores the importance of maintaining robust capital and liquidity buffers and advancing the NBFI policy framework to mitigate procyclical amplification of shocks.</w:t>
      </w:r>
    </w:p>
    <w:p/>
    <w:p>
      <w:r>
        <w:rPr>
          <w:b/>
          <w:sz w:val="22"/>
        </w:rPr>
        <w:t xml:space="preserve">Vulnerability rating: </w:t>
      </w:r>
      <w:r>
        <w:rPr>
          <w:b/>
          <w:color w:val="B40000"/>
          <w:sz w:val="22"/>
        </w:rPr>
        <w:t>ELEVATED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