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Asset Valuations: Stretched Markets in a High-Uncertainty Environment</w:t>
      </w:r>
    </w:p>
    <w:p>
      <w:r>
        <w:rPr>
          <w:i/>
          <w:color w:val="646464"/>
          <w:sz w:val="20"/>
        </w:rPr>
        <w:t>European Central Bank — Financial Stability Review, November 2025</w:t>
      </w:r>
    </w:p>
    <w:p/>
    <w:p>
      <w:pPr>
        <w:pStyle w:val="Heading1"/>
      </w:pPr>
      <w:r>
        <w:rPr>
          <w:color w:val="003366"/>
        </w:rPr>
        <w:t>1. Overview</w:t>
      </w:r>
    </w:p>
    <w:p>
      <w:r>
        <w:t>Euro area asset valuations remain stretched across key markets as of late 2025, even as short-term volatility has receded from the exceptional levels seen during the April sell-off. The ECB Financial Stability Review (FSR) of May 2025 warned that "stretched valuations and declining non-bank liquidity make markets prone to further outsized reactions." While the EURO STOXX 50 and S&amp;P 500 "mostly recovered their initial losses by mid-May" (ECB FSR, May 2025), the underlying drivers of repricing risk—elevated trade policy uncertainty, fiscal sustainability concerns, and geopolitical fragmentation—have intensified. The U.S. Federal Reserve's November 2025 FSR corroborates this picture: the S&amp;P 500 forward P/E ratio is "close to the upper end of its historical range," and corporate bond spreads have settled "at historically tight levels" (Fed FSR, November 2025). The compression of risk premia, against deteriorating macro-financial fundamentals, suggests an uncomfortably narrow margin of safety. This chapter assesses valuation stretch across major asset classes, identifies the most vulnerable segments, and discusses triggers and amplification mechanisms for a potential disorderly repricing.</w:t>
      </w:r>
    </w:p>
    <w:p>
      <w:pPr>
        <w:pStyle w:val="Heading1"/>
      </w:pPr>
      <w:r>
        <w:rPr>
          <w:color w:val="003366"/>
        </w:rPr>
        <w:t>2. Key Asset Valuation Indicators</w:t>
      </w:r>
    </w:p>
    <w:p>
      <w:r>
        <w:t>Table 1 summarises valuation metrics across equity, fixed-income, real estate, and sovereign markets, drawing on the ECB FSR (May and November 2025) and the Fed FSR (November 2025).</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fill="003366" w:val="clear"/>
          </w:tcPr>
          <w:p>
            <w:pPr>
              <w:spacing w:before="20" w:after="20"/>
              <w:jc w:val="center"/>
            </w:pPr>
            <w:r>
              <w:rPr>
                <w:rFonts w:ascii="Calibri" w:hAnsi="Calibri"/>
                <w:b/>
                <w:color w:val="FFFFFF"/>
                <w:sz w:val="16"/>
              </w:rPr>
              <w:t>Asset Class</w:t>
            </w:r>
          </w:p>
        </w:tc>
        <w:tc>
          <w:tcPr>
            <w:tcW w:type="dxa" w:w="1568"/>
            <w:shd w:fill="003366" w:val="clear"/>
          </w:tcPr>
          <w:p>
            <w:pPr>
              <w:spacing w:before="20" w:after="20"/>
              <w:jc w:val="center"/>
            </w:pPr>
            <w:r>
              <w:rPr>
                <w:rFonts w:ascii="Calibri" w:hAnsi="Calibri"/>
                <w:b/>
                <w:color w:val="FFFFFF"/>
                <w:sz w:val="16"/>
              </w:rPr>
              <w:t>Indicator</w:t>
            </w:r>
          </w:p>
        </w:tc>
        <w:tc>
          <w:tcPr>
            <w:tcW w:type="dxa" w:w="1568"/>
            <w:shd w:fill="003366" w:val="clear"/>
          </w:tcPr>
          <w:p>
            <w:pPr>
              <w:spacing w:before="20" w:after="20"/>
              <w:jc w:val="center"/>
            </w:pPr>
            <w:r>
              <w:rPr>
                <w:rFonts w:ascii="Calibri" w:hAnsi="Calibri"/>
                <w:b/>
                <w:color w:val="FFFFFF"/>
                <w:sz w:val="16"/>
              </w:rPr>
              <w:t>Region</w:t>
            </w:r>
          </w:p>
        </w:tc>
        <w:tc>
          <w:tcPr>
            <w:tcW w:type="dxa" w:w="1568"/>
            <w:shd w:fill="003366" w:val="clear"/>
          </w:tcPr>
          <w:p>
            <w:pPr>
              <w:spacing w:before="20" w:after="20"/>
              <w:jc w:val="center"/>
            </w:pPr>
            <w:r>
              <w:rPr>
                <w:rFonts w:ascii="Calibri" w:hAnsi="Calibri"/>
                <w:b/>
                <w:color w:val="FFFFFF"/>
                <w:sz w:val="16"/>
              </w:rPr>
              <w:t>Most Recent Assessment</w:t>
            </w:r>
          </w:p>
        </w:tc>
        <w:tc>
          <w:tcPr>
            <w:tcW w:type="dxa" w:w="1568"/>
            <w:shd w:fill="003366" w:val="clear"/>
          </w:tcPr>
          <w:p>
            <w:pPr>
              <w:spacing w:before="20" w:after="20"/>
              <w:jc w:val="center"/>
            </w:pPr>
            <w:r>
              <w:rPr>
                <w:rFonts w:ascii="Calibri" w:hAnsi="Calibri"/>
                <w:b/>
                <w:color w:val="FFFFFF"/>
                <w:sz w:val="16"/>
              </w:rPr>
              <w:t>Historical Context</w:t>
            </w:r>
          </w:p>
        </w:tc>
        <w:tc>
          <w:tcPr>
            <w:tcW w:type="dxa" w:w="1568"/>
            <w:shd w:fill="003366" w:val="clear"/>
          </w:tcPr>
          <w:p>
            <w:pPr>
              <w:spacing w:before="20" w:after="20"/>
              <w:jc w:val="center"/>
            </w:pPr>
            <w:r>
              <w:rPr>
                <w:rFonts w:ascii="Calibri" w:hAnsi="Calibri"/>
                <w:b/>
                <w:color w:val="FFFFFF"/>
                <w:sz w:val="16"/>
              </w:rPr>
              <w:t>Source</w:t>
            </w:r>
          </w:p>
        </w:tc>
      </w:tr>
      <w:tr>
        <w:tc>
          <w:tcPr>
            <w:tcW w:type="dxa" w:w="1568"/>
          </w:tcPr>
          <w:p>
            <w:pPr>
              <w:spacing w:before="20" w:after="20"/>
              <w:jc w:val="left"/>
            </w:pPr>
            <w:r>
              <w:rPr>
                <w:rFonts w:ascii="Calibri" w:hAnsi="Calibri"/>
                <w:b/>
                <w:sz w:val="16"/>
              </w:rPr>
              <w:t>Equities</w:t>
            </w:r>
          </w:p>
        </w:tc>
        <w:tc>
          <w:tcPr>
            <w:tcW w:type="dxa" w:w="1568"/>
          </w:tcPr>
          <w:p>
            <w:pPr>
              <w:spacing w:before="20" w:after="20"/>
              <w:jc w:val="left"/>
            </w:pPr>
            <w:r>
              <w:rPr>
                <w:rFonts w:ascii="Calibri" w:hAnsi="Calibri"/>
                <w:b w:val="0"/>
                <w:sz w:val="16"/>
              </w:rPr>
              <w:t>Forward P/E ratio</w:t>
            </w:r>
          </w:p>
        </w:tc>
        <w:tc>
          <w:tcPr>
            <w:tcW w:type="dxa" w:w="1568"/>
          </w:tcPr>
          <w:p>
            <w:pPr>
              <w:spacing w:before="20" w:after="20"/>
              <w:jc w:val="left"/>
            </w:pPr>
            <w:r>
              <w:rPr>
                <w:rFonts w:ascii="Calibri" w:hAnsi="Calibri"/>
                <w:b w:val="0"/>
                <w:sz w:val="16"/>
              </w:rPr>
              <w:t>US (S&amp;P 500)</w:t>
            </w:r>
          </w:p>
        </w:tc>
        <w:tc>
          <w:tcPr>
            <w:tcW w:type="dxa" w:w="1568"/>
          </w:tcPr>
          <w:p>
            <w:pPr>
              <w:spacing w:before="20" w:after="20"/>
              <w:jc w:val="left"/>
            </w:pPr>
            <w:r>
              <w:rPr>
                <w:rFonts w:ascii="Calibri" w:hAnsi="Calibri"/>
                <w:b w:val="0"/>
                <w:sz w:val="16"/>
              </w:rPr>
              <w:t>Close to upper end of historical range</w:t>
            </w:r>
          </w:p>
        </w:tc>
        <w:tc>
          <w:tcPr>
            <w:tcW w:type="dxa" w:w="1568"/>
          </w:tcPr>
          <w:p>
            <w:pPr>
              <w:spacing w:before="20" w:after="20"/>
              <w:jc w:val="left"/>
            </w:pPr>
            <w:r>
              <w:rPr>
                <w:rFonts w:ascii="Calibri" w:hAnsi="Calibri"/>
                <w:b w:val="0"/>
                <w:sz w:val="16"/>
              </w:rPr>
              <w:t>~90th percentile</w:t>
            </w:r>
          </w:p>
        </w:tc>
        <w:tc>
          <w:tcPr>
            <w:tcW w:type="dxa" w:w="1568"/>
          </w:tcPr>
          <w:p>
            <w:pPr>
              <w:spacing w:before="20" w:after="20"/>
              <w:jc w:val="left"/>
            </w:pPr>
            <w:r>
              <w:rPr>
                <w:rFonts w:ascii="Calibri" w:hAnsi="Calibri"/>
                <w:b w:val="0"/>
                <w:sz w:val="16"/>
              </w:rPr>
              <w:t>Fed FSR Nov. 2025, Fig. 1.4</w:t>
            </w:r>
          </w:p>
        </w:tc>
      </w:tr>
      <w:tr>
        <w:tc>
          <w:tcPr>
            <w:tcW w:type="dxa" w:w="1568"/>
            <w:shd w:fill="EBF0F7" w:val="clear"/>
          </w:tcPr>
          <w:p>
            <w:pPr>
              <w:spacing w:before="20" w:after="20"/>
              <w:jc w:val="left"/>
            </w:pPr>
            <w:r>
              <w:rPr>
                <w:rFonts w:ascii="Calibri" w:hAnsi="Calibri"/>
                <w:b/>
                <w:sz w:val="16"/>
              </w:rPr>
              <w:t>Equities</w:t>
            </w:r>
          </w:p>
        </w:tc>
        <w:tc>
          <w:tcPr>
            <w:tcW w:type="dxa" w:w="1568"/>
            <w:shd w:fill="EBF0F7" w:val="clear"/>
          </w:tcPr>
          <w:p>
            <w:pPr>
              <w:spacing w:before="20" w:after="20"/>
              <w:jc w:val="left"/>
            </w:pPr>
            <w:r>
              <w:rPr>
                <w:rFonts w:ascii="Calibri" w:hAnsi="Calibri"/>
                <w:b w:val="0"/>
                <w:sz w:val="16"/>
              </w:rPr>
              <w:t>Equity risk premium (earnings yield – real 10y)</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Near a 20-year low</w:t>
            </w:r>
          </w:p>
        </w:tc>
        <w:tc>
          <w:tcPr>
            <w:tcW w:type="dxa" w:w="1568"/>
            <w:shd w:fill="EBF0F7" w:val="clear"/>
          </w:tcPr>
          <w:p>
            <w:pPr>
              <w:spacing w:before="20" w:after="20"/>
              <w:jc w:val="left"/>
            </w:pPr>
            <w:r>
              <w:rPr>
                <w:rFonts w:ascii="Calibri" w:hAnsi="Calibri"/>
                <w:b w:val="0"/>
                <w:sz w:val="16"/>
              </w:rPr>
              <w:t>Multi-decade trough</w:t>
            </w:r>
          </w:p>
        </w:tc>
        <w:tc>
          <w:tcPr>
            <w:tcW w:type="dxa" w:w="1568"/>
            <w:shd w:fill="EBF0F7" w:val="clear"/>
          </w:tcPr>
          <w:p>
            <w:pPr>
              <w:spacing w:before="20" w:after="20"/>
              <w:jc w:val="left"/>
            </w:pPr>
            <w:r>
              <w:rPr>
                <w:rFonts w:ascii="Calibri" w:hAnsi="Calibri"/>
                <w:b w:val="0"/>
                <w:sz w:val="16"/>
              </w:rPr>
              <w:t>Fed FSR Nov. 2025, Fig. 1.5</w:t>
            </w:r>
          </w:p>
        </w:tc>
      </w:tr>
      <w:tr>
        <w:tc>
          <w:tcPr>
            <w:tcW w:type="dxa" w:w="1568"/>
          </w:tcPr>
          <w:p>
            <w:pPr>
              <w:spacing w:before="20" w:after="20"/>
              <w:jc w:val="left"/>
            </w:pPr>
            <w:r>
              <w:rPr>
                <w:rFonts w:ascii="Calibri" w:hAnsi="Calibri"/>
                <w:b/>
                <w:sz w:val="16"/>
              </w:rPr>
              <w:t>Equities</w:t>
            </w:r>
          </w:p>
        </w:tc>
        <w:tc>
          <w:tcPr>
            <w:tcW w:type="dxa" w:w="1568"/>
          </w:tcPr>
          <w:p>
            <w:pPr>
              <w:spacing w:before="20" w:after="20"/>
              <w:jc w:val="left"/>
            </w:pPr>
            <w:r>
              <w:rPr>
                <w:rFonts w:ascii="Calibri" w:hAnsi="Calibri"/>
                <w:b w:val="0"/>
                <w:sz w:val="16"/>
              </w:rPr>
              <w:t>EURO STOXX 50 valuation</w:t>
            </w:r>
          </w:p>
        </w:tc>
        <w:tc>
          <w:tcPr>
            <w:tcW w:type="dxa" w:w="1568"/>
          </w:tcPr>
          <w:p>
            <w:pPr>
              <w:spacing w:before="20" w:after="20"/>
              <w:jc w:val="left"/>
            </w:pPr>
            <w:r>
              <w:rPr>
                <w:rFonts w:ascii="Calibri" w:hAnsi="Calibri"/>
                <w:b w:val="0"/>
                <w:sz w:val="16"/>
              </w:rPr>
              <w:t>Euro area</w:t>
            </w:r>
          </w:p>
        </w:tc>
        <w:tc>
          <w:tcPr>
            <w:tcW w:type="dxa" w:w="1568"/>
          </w:tcPr>
          <w:p>
            <w:pPr>
              <w:spacing w:before="20" w:after="20"/>
              <w:jc w:val="left"/>
            </w:pPr>
            <w:r>
              <w:rPr>
                <w:rFonts w:ascii="Calibri" w:hAnsi="Calibri"/>
                <w:b w:val="0"/>
                <w:sz w:val="16"/>
              </w:rPr>
              <w:t>Stretched; rebounded near pre-sell-off levels</w:t>
            </w:r>
          </w:p>
        </w:tc>
        <w:tc>
          <w:tcPr>
            <w:tcW w:type="dxa" w:w="1568"/>
          </w:tcPr>
          <w:p>
            <w:pPr>
              <w:spacing w:before="20" w:after="20"/>
              <w:jc w:val="left"/>
            </w:pPr>
            <w:r>
              <w:rPr>
                <w:rFonts w:ascii="Calibri" w:hAnsi="Calibri"/>
                <w:b w:val="0"/>
                <w:sz w:val="16"/>
              </w:rPr>
              <w:t>High by historical standards</w:t>
            </w:r>
          </w:p>
        </w:tc>
        <w:tc>
          <w:tcPr>
            <w:tcW w:type="dxa" w:w="1568"/>
          </w:tcPr>
          <w:p>
            <w:pPr>
              <w:spacing w:before="20" w:after="20"/>
              <w:jc w:val="left"/>
            </w:pPr>
            <w:r>
              <w:rPr>
                <w:rFonts w:ascii="Calibri" w:hAnsi="Calibri"/>
                <w:b w:val="0"/>
                <w:sz w:val="16"/>
              </w:rPr>
              <w:t>ECB FSR May 2025, Overview</w:t>
            </w:r>
          </w:p>
        </w:tc>
      </w:tr>
      <w:tr>
        <w:tc>
          <w:tcPr>
            <w:tcW w:type="dxa" w:w="1568"/>
            <w:shd w:fill="EBF0F7" w:val="clear"/>
          </w:tcPr>
          <w:p>
            <w:pPr>
              <w:spacing w:before="20" w:after="20"/>
              <w:jc w:val="left"/>
            </w:pPr>
            <w:r>
              <w:rPr>
                <w:rFonts w:ascii="Calibri" w:hAnsi="Calibri"/>
                <w:b/>
                <w:sz w:val="16"/>
              </w:rPr>
              <w:t>Equities</w:t>
            </w:r>
          </w:p>
        </w:tc>
        <w:tc>
          <w:tcPr>
            <w:tcW w:type="dxa" w:w="1568"/>
            <w:shd w:fill="EBF0F7" w:val="clear"/>
          </w:tcPr>
          <w:p>
            <w:pPr>
              <w:spacing w:before="20" w:after="20"/>
              <w:jc w:val="left"/>
            </w:pPr>
            <w:r>
              <w:rPr>
                <w:rFonts w:ascii="Calibri" w:hAnsi="Calibri"/>
                <w:b w:val="0"/>
                <w:sz w:val="16"/>
              </w:rPr>
              <w:t>Option-implied volatility (VIX)</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Below historical median</w:t>
            </w:r>
          </w:p>
        </w:tc>
        <w:tc>
          <w:tcPr>
            <w:tcW w:type="dxa" w:w="1568"/>
            <w:shd w:fill="EBF0F7" w:val="clear"/>
          </w:tcPr>
          <w:p>
            <w:pPr>
              <w:spacing w:before="20" w:after="20"/>
              <w:jc w:val="left"/>
            </w:pPr>
            <w:r>
              <w:rPr>
                <w:rFonts w:ascii="Calibri" w:hAnsi="Calibri"/>
                <w:b w:val="0"/>
                <w:sz w:val="16"/>
              </w:rPr>
              <w:t>Below median; declined from April spike</w:t>
            </w:r>
          </w:p>
        </w:tc>
        <w:tc>
          <w:tcPr>
            <w:tcW w:type="dxa" w:w="1568"/>
            <w:shd w:fill="EBF0F7" w:val="clear"/>
          </w:tcPr>
          <w:p>
            <w:pPr>
              <w:spacing w:before="20" w:after="20"/>
              <w:jc w:val="left"/>
            </w:pPr>
            <w:r>
              <w:rPr>
                <w:rFonts w:ascii="Calibri" w:hAnsi="Calibri"/>
                <w:b w:val="0"/>
                <w:sz w:val="16"/>
              </w:rPr>
              <w:t>Fed FSR Nov. 2025, Fig. 1.6</w:t>
            </w:r>
          </w:p>
        </w:tc>
      </w:tr>
      <w:tr>
        <w:tc>
          <w:tcPr>
            <w:tcW w:type="dxa" w:w="1568"/>
          </w:tcPr>
          <w:p>
            <w:pPr>
              <w:spacing w:before="20" w:after="20"/>
              <w:jc w:val="left"/>
            </w:pPr>
            <w:r>
              <w:rPr>
                <w:rFonts w:ascii="Calibri" w:hAnsi="Calibri"/>
                <w:b/>
                <w:sz w:val="16"/>
              </w:rPr>
              <w:t>Corporate Credit</w:t>
            </w:r>
          </w:p>
        </w:tc>
        <w:tc>
          <w:tcPr>
            <w:tcW w:type="dxa" w:w="1568"/>
          </w:tcPr>
          <w:p>
            <w:pPr>
              <w:spacing w:before="20" w:after="20"/>
              <w:jc w:val="left"/>
            </w:pPr>
            <w:r>
              <w:rPr>
                <w:rFonts w:ascii="Calibri" w:hAnsi="Calibri"/>
                <w:b w:val="0"/>
                <w:sz w:val="16"/>
              </w:rPr>
              <w:t>IG spreads (triple-B)</w:t>
            </w:r>
          </w:p>
        </w:tc>
        <w:tc>
          <w:tcPr>
            <w:tcW w:type="dxa" w:w="1568"/>
          </w:tcPr>
          <w:p>
            <w:pPr>
              <w:spacing w:before="20" w:after="20"/>
              <w:jc w:val="left"/>
            </w:pPr>
            <w:r>
              <w:rPr>
                <w:rFonts w:ascii="Calibri" w:hAnsi="Calibri"/>
                <w:b w:val="0"/>
                <w:sz w:val="16"/>
              </w:rPr>
              <w:t>US</w:t>
            </w:r>
          </w:p>
        </w:tc>
        <w:tc>
          <w:tcPr>
            <w:tcW w:type="dxa" w:w="1568"/>
          </w:tcPr>
          <w:p>
            <w:pPr>
              <w:spacing w:before="20" w:after="20"/>
              <w:jc w:val="left"/>
            </w:pPr>
            <w:r>
              <w:rPr>
                <w:rFonts w:ascii="Calibri" w:hAnsi="Calibri"/>
                <w:b w:val="0"/>
                <w:sz w:val="16"/>
              </w:rPr>
              <w:t>~0.7 pp below historical median</w:t>
            </w:r>
          </w:p>
        </w:tc>
        <w:tc>
          <w:tcPr>
            <w:tcW w:type="dxa" w:w="1568"/>
          </w:tcPr>
          <w:p>
            <w:pPr>
              <w:spacing w:before="20" w:after="20"/>
              <w:jc w:val="left"/>
            </w:pPr>
            <w:r>
              <w:rPr>
                <w:rFonts w:ascii="Calibri" w:hAnsi="Calibri"/>
                <w:b w:val="0"/>
                <w:sz w:val="16"/>
              </w:rPr>
              <w:t>Below median; tight</w:t>
            </w:r>
          </w:p>
        </w:tc>
        <w:tc>
          <w:tcPr>
            <w:tcW w:type="dxa" w:w="1568"/>
          </w:tcPr>
          <w:p>
            <w:pPr>
              <w:spacing w:before="20" w:after="20"/>
              <w:jc w:val="left"/>
            </w:pPr>
            <w:r>
              <w:rPr>
                <w:rFonts w:ascii="Calibri" w:hAnsi="Calibri"/>
                <w:b w:val="0"/>
                <w:sz w:val="16"/>
              </w:rPr>
              <w:t>Fed FSR Nov. 2025, Fig. 1.8</w:t>
            </w:r>
          </w:p>
        </w:tc>
      </w:tr>
      <w:tr>
        <w:tc>
          <w:tcPr>
            <w:tcW w:type="dxa" w:w="1568"/>
            <w:shd w:fill="EBF0F7" w:val="clear"/>
          </w:tcPr>
          <w:p>
            <w:pPr>
              <w:spacing w:before="20" w:after="20"/>
              <w:jc w:val="left"/>
            </w:pPr>
            <w:r>
              <w:rPr>
                <w:rFonts w:ascii="Calibri" w:hAnsi="Calibri"/>
                <w:b/>
                <w:sz w:val="16"/>
              </w:rPr>
              <w:t>Corporate Credit</w:t>
            </w:r>
          </w:p>
        </w:tc>
        <w:tc>
          <w:tcPr>
            <w:tcW w:type="dxa" w:w="1568"/>
            <w:shd w:fill="EBF0F7" w:val="clear"/>
          </w:tcPr>
          <w:p>
            <w:pPr>
              <w:spacing w:before="20" w:after="20"/>
              <w:jc w:val="left"/>
            </w:pPr>
            <w:r>
              <w:rPr>
                <w:rFonts w:ascii="Calibri" w:hAnsi="Calibri"/>
                <w:b w:val="0"/>
                <w:sz w:val="16"/>
              </w:rPr>
              <w:t>HY spreads</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~1.6 pp below historical median</w:t>
            </w:r>
          </w:p>
        </w:tc>
        <w:tc>
          <w:tcPr>
            <w:tcW w:type="dxa" w:w="1568"/>
            <w:shd w:fill="EBF0F7" w:val="clear"/>
          </w:tcPr>
          <w:p>
            <w:pPr>
              <w:spacing w:before="20" w:after="20"/>
              <w:jc w:val="left"/>
            </w:pPr>
            <w:r>
              <w:rPr>
                <w:rFonts w:ascii="Calibri" w:hAnsi="Calibri"/>
                <w:b w:val="0"/>
                <w:sz w:val="16"/>
              </w:rPr>
              <w:t>Well below median</w:t>
            </w:r>
          </w:p>
        </w:tc>
        <w:tc>
          <w:tcPr>
            <w:tcW w:type="dxa" w:w="1568"/>
            <w:shd w:fill="EBF0F7" w:val="clear"/>
          </w:tcPr>
          <w:p>
            <w:pPr>
              <w:spacing w:before="20" w:after="20"/>
              <w:jc w:val="left"/>
            </w:pPr>
            <w:r>
              <w:rPr>
                <w:rFonts w:ascii="Calibri" w:hAnsi="Calibri"/>
                <w:b w:val="0"/>
                <w:sz w:val="16"/>
              </w:rPr>
              <w:t>Fed FSR Nov. 2025, Fig. 1.8</w:t>
            </w:r>
          </w:p>
        </w:tc>
      </w:tr>
      <w:tr>
        <w:tc>
          <w:tcPr>
            <w:tcW w:type="dxa" w:w="1568"/>
          </w:tcPr>
          <w:p>
            <w:pPr>
              <w:spacing w:before="20" w:after="20"/>
              <w:jc w:val="left"/>
            </w:pPr>
            <w:r>
              <w:rPr>
                <w:rFonts w:ascii="Calibri" w:hAnsi="Calibri"/>
                <w:b/>
                <w:sz w:val="16"/>
              </w:rPr>
              <w:t>Corporate Credit</w:t>
            </w:r>
          </w:p>
        </w:tc>
        <w:tc>
          <w:tcPr>
            <w:tcW w:type="dxa" w:w="1568"/>
          </w:tcPr>
          <w:p>
            <w:pPr>
              <w:spacing w:before="20" w:after="20"/>
              <w:jc w:val="left"/>
            </w:pPr>
            <w:r>
              <w:rPr>
                <w:rFonts w:ascii="Calibri" w:hAnsi="Calibri"/>
                <w:b w:val="0"/>
                <w:sz w:val="16"/>
              </w:rPr>
              <w:t>Excess bond premium (EBP)</w:t>
            </w:r>
          </w:p>
        </w:tc>
        <w:tc>
          <w:tcPr>
            <w:tcW w:type="dxa" w:w="1568"/>
          </w:tcPr>
          <w:p>
            <w:pPr>
              <w:spacing w:before="20" w:after="20"/>
              <w:jc w:val="left"/>
            </w:pPr>
            <w:r>
              <w:rPr>
                <w:rFonts w:ascii="Calibri" w:hAnsi="Calibri"/>
                <w:b w:val="0"/>
                <w:sz w:val="16"/>
              </w:rPr>
              <w:t>US</w:t>
            </w:r>
          </w:p>
        </w:tc>
        <w:tc>
          <w:tcPr>
            <w:tcW w:type="dxa" w:w="1568"/>
          </w:tcPr>
          <w:p>
            <w:pPr>
              <w:spacing w:before="20" w:after="20"/>
              <w:jc w:val="left"/>
            </w:pPr>
            <w:r>
              <w:rPr>
                <w:rFonts w:ascii="Calibri" w:hAnsi="Calibri"/>
                <w:b w:val="0"/>
                <w:sz w:val="16"/>
              </w:rPr>
              <w:t>Below median of historical distribution</w:t>
            </w:r>
          </w:p>
        </w:tc>
        <w:tc>
          <w:tcPr>
            <w:tcW w:type="dxa" w:w="1568"/>
          </w:tcPr>
          <w:p>
            <w:pPr>
              <w:spacing w:before="20" w:after="20"/>
              <w:jc w:val="left"/>
            </w:pPr>
            <w:r>
              <w:rPr>
                <w:rFonts w:ascii="Calibri" w:hAnsi="Calibri"/>
                <w:b w:val="0"/>
                <w:sz w:val="16"/>
              </w:rPr>
              <w:t>Below long-run average</w:t>
            </w:r>
          </w:p>
        </w:tc>
        <w:tc>
          <w:tcPr>
            <w:tcW w:type="dxa" w:w="1568"/>
          </w:tcPr>
          <w:p>
            <w:pPr>
              <w:spacing w:before="20" w:after="20"/>
              <w:jc w:val="left"/>
            </w:pPr>
            <w:r>
              <w:rPr>
                <w:rFonts w:ascii="Calibri" w:hAnsi="Calibri"/>
                <w:b w:val="0"/>
                <w:sz w:val="16"/>
              </w:rPr>
              <w:t>Fed FSR Nov. 2025, Fig. 1.9</w:t>
            </w:r>
          </w:p>
        </w:tc>
      </w:tr>
      <w:tr>
        <w:tc>
          <w:tcPr>
            <w:tcW w:type="dxa" w:w="1568"/>
            <w:shd w:fill="EBF0F7" w:val="clear"/>
          </w:tcPr>
          <w:p>
            <w:pPr>
              <w:spacing w:before="20" w:after="20"/>
              <w:jc w:val="left"/>
            </w:pPr>
            <w:r>
              <w:rPr>
                <w:rFonts w:ascii="Calibri" w:hAnsi="Calibri"/>
                <w:b/>
                <w:sz w:val="16"/>
              </w:rPr>
              <w:t>Corporate Credit</w:t>
            </w:r>
          </w:p>
        </w:tc>
        <w:tc>
          <w:tcPr>
            <w:tcW w:type="dxa" w:w="1568"/>
            <w:shd w:fill="EBF0F7" w:val="clear"/>
          </w:tcPr>
          <w:p>
            <w:pPr>
              <w:spacing w:before="20" w:after="20"/>
              <w:jc w:val="left"/>
            </w:pPr>
            <w:r>
              <w:rPr>
                <w:rFonts w:ascii="Calibri" w:hAnsi="Calibri"/>
                <w:b w:val="0"/>
                <w:sz w:val="16"/>
              </w:rPr>
              <w:t>Leveraged loan spreads</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Low end of distribution since 2009</w:t>
            </w:r>
          </w:p>
        </w:tc>
        <w:tc>
          <w:tcPr>
            <w:tcW w:type="dxa" w:w="1568"/>
            <w:shd w:fill="EBF0F7" w:val="clear"/>
          </w:tcPr>
          <w:p>
            <w:pPr>
              <w:spacing w:before="20" w:after="20"/>
              <w:jc w:val="left"/>
            </w:pPr>
            <w:r>
              <w:rPr>
                <w:rFonts w:ascii="Calibri" w:hAnsi="Calibri"/>
                <w:b w:val="0"/>
                <w:sz w:val="16"/>
              </w:rPr>
              <w:t>Bottom of post-2009 range</w:t>
            </w:r>
          </w:p>
        </w:tc>
        <w:tc>
          <w:tcPr>
            <w:tcW w:type="dxa" w:w="1568"/>
            <w:shd w:fill="EBF0F7" w:val="clear"/>
          </w:tcPr>
          <w:p>
            <w:pPr>
              <w:spacing w:before="20" w:after="20"/>
              <w:jc w:val="left"/>
            </w:pPr>
            <w:r>
              <w:rPr>
                <w:rFonts w:ascii="Calibri" w:hAnsi="Calibri"/>
                <w:b w:val="0"/>
                <w:sz w:val="16"/>
              </w:rPr>
              <w:t>Fed FSR Nov. 2025, Fig. 1.10</w:t>
            </w:r>
          </w:p>
        </w:tc>
      </w:tr>
      <w:tr>
        <w:tc>
          <w:tcPr>
            <w:tcW w:type="dxa" w:w="1568"/>
          </w:tcPr>
          <w:p>
            <w:pPr>
              <w:spacing w:before="20" w:after="20"/>
              <w:jc w:val="left"/>
            </w:pPr>
            <w:r>
              <w:rPr>
                <w:rFonts w:ascii="Calibri" w:hAnsi="Calibri"/>
                <w:b/>
                <w:sz w:val="16"/>
              </w:rPr>
              <w:t>Corporate Credit</w:t>
            </w:r>
          </w:p>
        </w:tc>
        <w:tc>
          <w:tcPr>
            <w:tcW w:type="dxa" w:w="1568"/>
          </w:tcPr>
          <w:p>
            <w:pPr>
              <w:spacing w:before="20" w:after="20"/>
              <w:jc w:val="left"/>
            </w:pPr>
            <w:r>
              <w:rPr>
                <w:rFonts w:ascii="Calibri" w:hAnsi="Calibri"/>
                <w:b w:val="0"/>
                <w:sz w:val="16"/>
              </w:rPr>
              <w:t>Euro area corp. vulnerabilities &amp; credit</w:t>
            </w:r>
          </w:p>
        </w:tc>
        <w:tc>
          <w:tcPr>
            <w:tcW w:type="dxa" w:w="1568"/>
          </w:tcPr>
          <w:p>
            <w:pPr>
              <w:spacing w:before="20" w:after="20"/>
              <w:jc w:val="left"/>
            </w:pPr>
            <w:r>
              <w:rPr>
                <w:rFonts w:ascii="Calibri" w:hAnsi="Calibri"/>
                <w:b w:val="0"/>
                <w:sz w:val="16"/>
              </w:rPr>
              <w:t>Euro area</w:t>
            </w:r>
          </w:p>
        </w:tc>
        <w:tc>
          <w:tcPr>
            <w:tcW w:type="dxa" w:w="1568"/>
          </w:tcPr>
          <w:p>
            <w:pPr>
              <w:spacing w:before="20" w:after="20"/>
              <w:jc w:val="left"/>
            </w:pPr>
            <w:r>
              <w:rPr>
                <w:rFonts w:ascii="Calibri" w:hAnsi="Calibri"/>
                <w:b w:val="0"/>
                <w:sz w:val="16"/>
              </w:rPr>
              <w:t>High valuations; elevated bankruptcies &amp; DSR</w:t>
            </w:r>
          </w:p>
        </w:tc>
        <w:tc>
          <w:tcPr>
            <w:tcW w:type="dxa" w:w="1568"/>
          </w:tcPr>
          <w:p>
            <w:pPr>
              <w:spacing w:before="20" w:after="20"/>
              <w:jc w:val="left"/>
            </w:pPr>
            <w:r>
              <w:rPr>
                <w:rFonts w:ascii="Calibri" w:hAnsi="Calibri"/>
                <w:b w:val="0"/>
                <w:sz w:val="16"/>
              </w:rPr>
              <w:t>Stretched; multi-year highs in bankruptcies</w:t>
            </w:r>
          </w:p>
        </w:tc>
        <w:tc>
          <w:tcPr>
            <w:tcW w:type="dxa" w:w="1568"/>
          </w:tcPr>
          <w:p>
            <w:pPr>
              <w:spacing w:before="20" w:after="20"/>
              <w:jc w:val="left"/>
            </w:pPr>
            <w:r>
              <w:rPr>
                <w:rFonts w:ascii="Calibri" w:hAnsi="Calibri"/>
                <w:b w:val="0"/>
                <w:sz w:val="16"/>
              </w:rPr>
              <w:t>ECB FSR May, Nov. 2025</w:t>
            </w:r>
          </w:p>
        </w:tc>
      </w:tr>
      <w:tr>
        <w:tc>
          <w:tcPr>
            <w:tcW w:type="dxa" w:w="1568"/>
            <w:shd w:fill="EBF0F7" w:val="clear"/>
          </w:tcPr>
          <w:p>
            <w:pPr>
              <w:spacing w:before="20" w:after="20"/>
              <w:jc w:val="left"/>
            </w:pPr>
            <w:r>
              <w:rPr>
                <w:rFonts w:ascii="Calibri" w:hAnsi="Calibri"/>
                <w:b/>
                <w:sz w:val="16"/>
              </w:rPr>
              <w:t>Sovereign Bonds</w:t>
            </w:r>
          </w:p>
        </w:tc>
        <w:tc>
          <w:tcPr>
            <w:tcW w:type="dxa" w:w="1568"/>
            <w:shd w:fill="EBF0F7" w:val="clear"/>
          </w:tcPr>
          <w:p>
            <w:pPr>
              <w:spacing w:before="20" w:after="20"/>
              <w:jc w:val="left"/>
            </w:pPr>
            <w:r>
              <w:rPr>
                <w:rFonts w:ascii="Calibri" w:hAnsi="Calibri"/>
                <w:b w:val="0"/>
                <w:sz w:val="16"/>
              </w:rPr>
              <w:t>10y spreads vs. German Bund</w:t>
            </w:r>
          </w:p>
        </w:tc>
        <w:tc>
          <w:tcPr>
            <w:tcW w:type="dxa" w:w="1568"/>
            <w:shd w:fill="EBF0F7" w:val="clear"/>
          </w:tcPr>
          <w:p>
            <w:pPr>
              <w:spacing w:before="20" w:after="20"/>
              <w:jc w:val="left"/>
            </w:pPr>
            <w:r>
              <w:rPr>
                <w:rFonts w:ascii="Calibri" w:hAnsi="Calibri"/>
                <w:b w:val="0"/>
                <w:sz w:val="16"/>
              </w:rPr>
              <w:t>Euro area</w:t>
            </w:r>
          </w:p>
        </w:tc>
        <w:tc>
          <w:tcPr>
            <w:tcW w:type="dxa" w:w="1568"/>
            <w:shd w:fill="EBF0F7" w:val="clear"/>
          </w:tcPr>
          <w:p>
            <w:pPr>
              <w:spacing w:before="20" w:after="20"/>
              <w:jc w:val="left"/>
            </w:pPr>
            <w:r>
              <w:rPr>
                <w:rFonts w:ascii="Calibri" w:hAnsi="Calibri"/>
                <w:b w:val="0"/>
                <w:sz w:val="16"/>
              </w:rPr>
              <w:t>Widening for vulnerable issuers; downgrades</w:t>
            </w:r>
          </w:p>
        </w:tc>
        <w:tc>
          <w:tcPr>
            <w:tcW w:type="dxa" w:w="1568"/>
            <w:shd w:fill="EBF0F7" w:val="clear"/>
          </w:tcPr>
          <w:p>
            <w:pPr>
              <w:spacing w:before="20" w:after="20"/>
              <w:jc w:val="left"/>
            </w:pPr>
            <w:r>
              <w:rPr>
                <w:rFonts w:ascii="Calibri" w:hAnsi="Calibri"/>
                <w:b w:val="0"/>
                <w:sz w:val="16"/>
              </w:rPr>
              <w:t>Distribution widening; fragmentation risk</w:t>
            </w:r>
          </w:p>
        </w:tc>
        <w:tc>
          <w:tcPr>
            <w:tcW w:type="dxa" w:w="1568"/>
            <w:shd w:fill="EBF0F7" w:val="clear"/>
          </w:tcPr>
          <w:p>
            <w:pPr>
              <w:spacing w:before="20" w:after="20"/>
              <w:jc w:val="left"/>
            </w:pPr>
            <w:r>
              <w:rPr>
                <w:rFonts w:ascii="Calibri" w:hAnsi="Calibri"/>
                <w:b w:val="0"/>
                <w:sz w:val="16"/>
              </w:rPr>
              <w:t>ECB FSR Nov. 2025, Chart 3</w:t>
            </w:r>
          </w:p>
        </w:tc>
      </w:tr>
      <w:tr>
        <w:tc>
          <w:tcPr>
            <w:tcW w:type="dxa" w:w="1568"/>
          </w:tcPr>
          <w:p>
            <w:pPr>
              <w:spacing w:before="20" w:after="20"/>
              <w:jc w:val="left"/>
            </w:pPr>
            <w:r>
              <w:rPr>
                <w:rFonts w:ascii="Calibri" w:hAnsi="Calibri"/>
                <w:b/>
                <w:sz w:val="16"/>
              </w:rPr>
              <w:t>Sovereign Bonds</w:t>
            </w:r>
          </w:p>
        </w:tc>
        <w:tc>
          <w:tcPr>
            <w:tcW w:type="dxa" w:w="1568"/>
          </w:tcPr>
          <w:p>
            <w:pPr>
              <w:spacing w:before="20" w:after="20"/>
              <w:jc w:val="left"/>
            </w:pPr>
            <w:r>
              <w:rPr>
                <w:rFonts w:ascii="Calibri" w:hAnsi="Calibri"/>
                <w:b w:val="0"/>
                <w:sz w:val="16"/>
              </w:rPr>
              <w:t>Govt. debt &amp; projected fiscal balance</w:t>
            </w:r>
          </w:p>
        </w:tc>
        <w:tc>
          <w:tcPr>
            <w:tcW w:type="dxa" w:w="1568"/>
          </w:tcPr>
          <w:p>
            <w:pPr>
              <w:spacing w:before="20" w:after="20"/>
              <w:jc w:val="left"/>
            </w:pPr>
            <w:r>
              <w:rPr>
                <w:rFonts w:ascii="Calibri" w:hAnsi="Calibri"/>
                <w:b w:val="0"/>
                <w:sz w:val="16"/>
              </w:rPr>
              <w:t>Euro area</w:t>
            </w:r>
          </w:p>
        </w:tc>
        <w:tc>
          <w:tcPr>
            <w:tcW w:type="dxa" w:w="1568"/>
          </w:tcPr>
          <w:p>
            <w:pPr>
              <w:spacing w:before="20" w:after="20"/>
              <w:jc w:val="left"/>
            </w:pPr>
            <w:r>
              <w:rPr>
                <w:rFonts w:ascii="Calibri" w:hAnsi="Calibri"/>
                <w:b w:val="0"/>
                <w:sz w:val="16"/>
              </w:rPr>
              <w:t>Several &gt;100% debt/GDP; deficits near/above 3%</w:t>
            </w:r>
          </w:p>
        </w:tc>
        <w:tc>
          <w:tcPr>
            <w:tcW w:type="dxa" w:w="1568"/>
          </w:tcPr>
          <w:p>
            <w:pPr>
              <w:spacing w:before="20" w:after="20"/>
              <w:jc w:val="left"/>
            </w:pPr>
            <w:r>
              <w:rPr>
                <w:rFonts w:ascii="Calibri" w:hAnsi="Calibri"/>
                <w:b w:val="0"/>
                <w:sz w:val="16"/>
              </w:rPr>
              <w:t>Elevated vs. Maastricht thresholds</w:t>
            </w:r>
          </w:p>
        </w:tc>
        <w:tc>
          <w:tcPr>
            <w:tcW w:type="dxa" w:w="1568"/>
          </w:tcPr>
          <w:p>
            <w:pPr>
              <w:spacing w:before="20" w:after="20"/>
              <w:jc w:val="left"/>
            </w:pPr>
            <w:r>
              <w:rPr>
                <w:rFonts w:ascii="Calibri" w:hAnsi="Calibri"/>
                <w:b w:val="0"/>
                <w:sz w:val="16"/>
              </w:rPr>
              <w:t>ECB FSR Nov. 2025, Chart 3c</w:t>
            </w:r>
          </w:p>
        </w:tc>
      </w:tr>
      <w:tr>
        <w:tc>
          <w:tcPr>
            <w:tcW w:type="dxa" w:w="1568"/>
            <w:shd w:fill="EBF0F7" w:val="clear"/>
          </w:tcPr>
          <w:p>
            <w:pPr>
              <w:spacing w:before="20" w:after="20"/>
              <w:jc w:val="left"/>
            </w:pPr>
            <w:r>
              <w:rPr>
                <w:rFonts w:ascii="Calibri" w:hAnsi="Calibri"/>
                <w:b/>
                <w:sz w:val="16"/>
              </w:rPr>
              <w:t>Sovereign Bonds</w:t>
            </w:r>
          </w:p>
        </w:tc>
        <w:tc>
          <w:tcPr>
            <w:tcW w:type="dxa" w:w="1568"/>
            <w:shd w:fill="EBF0F7" w:val="clear"/>
          </w:tcPr>
          <w:p>
            <w:pPr>
              <w:spacing w:before="20" w:after="20"/>
              <w:jc w:val="left"/>
            </w:pPr>
            <w:r>
              <w:rPr>
                <w:rFonts w:ascii="Calibri" w:hAnsi="Calibri"/>
                <w:b w:val="0"/>
                <w:sz w:val="16"/>
              </w:rPr>
              <w:t>Nominal Treasury term premium</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Near historical median</w:t>
            </w:r>
          </w:p>
        </w:tc>
        <w:tc>
          <w:tcPr>
            <w:tcW w:type="dxa" w:w="1568"/>
            <w:shd w:fill="EBF0F7" w:val="clear"/>
          </w:tcPr>
          <w:p>
            <w:pPr>
              <w:spacing w:before="20" w:after="20"/>
              <w:jc w:val="left"/>
            </w:pPr>
            <w:r>
              <w:rPr>
                <w:rFonts w:ascii="Calibri" w:hAnsi="Calibri"/>
                <w:b w:val="0"/>
                <w:sz w:val="16"/>
              </w:rPr>
              <w:t>At median; declined slightly</w:t>
            </w:r>
          </w:p>
        </w:tc>
        <w:tc>
          <w:tcPr>
            <w:tcW w:type="dxa" w:w="1568"/>
            <w:shd w:fill="EBF0F7" w:val="clear"/>
          </w:tcPr>
          <w:p>
            <w:pPr>
              <w:spacing w:before="20" w:after="20"/>
              <w:jc w:val="left"/>
            </w:pPr>
            <w:r>
              <w:rPr>
                <w:rFonts w:ascii="Calibri" w:hAnsi="Calibri"/>
                <w:b w:val="0"/>
                <w:sz w:val="16"/>
              </w:rPr>
              <w:t>Fed FSR Nov. 2025, Fig. 1.2</w:t>
            </w:r>
          </w:p>
        </w:tc>
      </w:tr>
      <w:tr>
        <w:tc>
          <w:tcPr>
            <w:tcW w:type="dxa" w:w="1568"/>
          </w:tcPr>
          <w:p>
            <w:pPr>
              <w:spacing w:before="20" w:after="20"/>
              <w:jc w:val="left"/>
            </w:pPr>
            <w:r>
              <w:rPr>
                <w:rFonts w:ascii="Calibri" w:hAnsi="Calibri"/>
                <w:b/>
                <w:sz w:val="16"/>
              </w:rPr>
              <w:t>Real Estate</w:t>
            </w:r>
          </w:p>
        </w:tc>
        <w:tc>
          <w:tcPr>
            <w:tcW w:type="dxa" w:w="1568"/>
          </w:tcPr>
          <w:p>
            <w:pPr>
              <w:spacing w:before="20" w:after="20"/>
              <w:jc w:val="left"/>
            </w:pPr>
            <w:r>
              <w:rPr>
                <w:rFonts w:ascii="Calibri" w:hAnsi="Calibri"/>
                <w:b w:val="0"/>
                <w:sz w:val="16"/>
              </w:rPr>
              <w:t>CRE price growth (deflated)</w:t>
            </w:r>
          </w:p>
        </w:tc>
        <w:tc>
          <w:tcPr>
            <w:tcW w:type="dxa" w:w="1568"/>
          </w:tcPr>
          <w:p>
            <w:pPr>
              <w:spacing w:before="20" w:after="20"/>
              <w:jc w:val="left"/>
            </w:pPr>
            <w:r>
              <w:rPr>
                <w:rFonts w:ascii="Calibri" w:hAnsi="Calibri"/>
                <w:b w:val="0"/>
                <w:sz w:val="16"/>
              </w:rPr>
              <w:t>US</w:t>
            </w:r>
          </w:p>
        </w:tc>
        <w:tc>
          <w:tcPr>
            <w:tcW w:type="dxa" w:w="1568"/>
          </w:tcPr>
          <w:p>
            <w:pPr>
              <w:spacing w:before="20" w:after="20"/>
              <w:jc w:val="left"/>
            </w:pPr>
            <w:r>
              <w:rPr>
                <w:rFonts w:ascii="Calibri" w:hAnsi="Calibri"/>
                <w:b w:val="0"/>
                <w:sz w:val="16"/>
              </w:rPr>
              <w:t>–5.6% y/y (to Q2 2025)</w:t>
            </w:r>
          </w:p>
        </w:tc>
        <w:tc>
          <w:tcPr>
            <w:tcW w:type="dxa" w:w="1568"/>
          </w:tcPr>
          <w:p>
            <w:pPr>
              <w:spacing w:before="20" w:after="20"/>
              <w:jc w:val="left"/>
            </w:pPr>
            <w:r>
              <w:rPr>
                <w:rFonts w:ascii="Calibri" w:hAnsi="Calibri"/>
                <w:b w:val="0"/>
                <w:sz w:val="16"/>
              </w:rPr>
              <w:t>Below long-run avg. (+5.4%)</w:t>
            </w:r>
          </w:p>
        </w:tc>
        <w:tc>
          <w:tcPr>
            <w:tcW w:type="dxa" w:w="1568"/>
          </w:tcPr>
          <w:p>
            <w:pPr>
              <w:spacing w:before="20" w:after="20"/>
              <w:jc w:val="left"/>
            </w:pPr>
            <w:r>
              <w:rPr>
                <w:rFonts w:ascii="Calibri" w:hAnsi="Calibri"/>
                <w:b w:val="0"/>
                <w:sz w:val="16"/>
              </w:rPr>
              <w:t>Fed FSR Nov. 2025, Table 1.1</w:t>
            </w:r>
          </w:p>
        </w:tc>
      </w:tr>
      <w:tr>
        <w:tc>
          <w:tcPr>
            <w:tcW w:type="dxa" w:w="1568"/>
            <w:shd w:fill="EBF0F7" w:val="clear"/>
          </w:tcPr>
          <w:p>
            <w:pPr>
              <w:spacing w:before="20" w:after="20"/>
              <w:jc w:val="left"/>
            </w:pPr>
            <w:r>
              <w:rPr>
                <w:rFonts w:ascii="Calibri" w:hAnsi="Calibri"/>
                <w:b/>
                <w:sz w:val="16"/>
              </w:rPr>
              <w:t>Real Estate</w:t>
            </w:r>
          </w:p>
        </w:tc>
        <w:tc>
          <w:tcPr>
            <w:tcW w:type="dxa" w:w="1568"/>
            <w:shd w:fill="EBF0F7" w:val="clear"/>
          </w:tcPr>
          <w:p>
            <w:pPr>
              <w:spacing w:before="20" w:after="20"/>
              <w:jc w:val="left"/>
            </w:pPr>
            <w:r>
              <w:rPr>
                <w:rFonts w:ascii="Calibri" w:hAnsi="Calibri"/>
                <w:b w:val="0"/>
                <w:sz w:val="16"/>
              </w:rPr>
              <w:t>Residential real estate price growth</w:t>
            </w:r>
          </w:p>
        </w:tc>
        <w:tc>
          <w:tcPr>
            <w:tcW w:type="dxa" w:w="1568"/>
            <w:shd w:fill="EBF0F7" w:val="clear"/>
          </w:tcPr>
          <w:p>
            <w:pPr>
              <w:spacing w:before="20" w:after="20"/>
              <w:jc w:val="left"/>
            </w:pPr>
            <w:r>
              <w:rPr>
                <w:rFonts w:ascii="Calibri" w:hAnsi="Calibri"/>
                <w:b w:val="0"/>
                <w:sz w:val="16"/>
              </w:rPr>
              <w:t>US</w:t>
            </w:r>
          </w:p>
        </w:tc>
        <w:tc>
          <w:tcPr>
            <w:tcW w:type="dxa" w:w="1568"/>
            <w:shd w:fill="EBF0F7" w:val="clear"/>
          </w:tcPr>
          <w:p>
            <w:pPr>
              <w:spacing w:before="20" w:after="20"/>
              <w:jc w:val="left"/>
            </w:pPr>
            <w:r>
              <w:rPr>
                <w:rFonts w:ascii="Calibri" w:hAnsi="Calibri"/>
                <w:b w:val="0"/>
                <w:sz w:val="16"/>
              </w:rPr>
              <w:t>+1.4% y/y; nominal +0.3–1.7%</w:t>
            </w:r>
          </w:p>
        </w:tc>
        <w:tc>
          <w:tcPr>
            <w:tcW w:type="dxa" w:w="1568"/>
            <w:shd w:fill="EBF0F7" w:val="clear"/>
          </w:tcPr>
          <w:p>
            <w:pPr>
              <w:spacing w:before="20" w:after="20"/>
              <w:jc w:val="left"/>
            </w:pPr>
            <w:r>
              <w:rPr>
                <w:rFonts w:ascii="Calibri" w:hAnsi="Calibri"/>
                <w:b w:val="0"/>
                <w:sz w:val="16"/>
              </w:rPr>
              <w:t>Below long-run avg. (+6.2%)</w:t>
            </w:r>
          </w:p>
        </w:tc>
        <w:tc>
          <w:tcPr>
            <w:tcW w:type="dxa" w:w="1568"/>
            <w:shd w:fill="EBF0F7" w:val="clear"/>
          </w:tcPr>
          <w:p>
            <w:pPr>
              <w:spacing w:before="20" w:after="20"/>
              <w:jc w:val="left"/>
            </w:pPr>
            <w:r>
              <w:rPr>
                <w:rFonts w:ascii="Calibri" w:hAnsi="Calibri"/>
                <w:b w:val="0"/>
                <w:sz w:val="16"/>
              </w:rPr>
              <w:t>Fed FSR Nov. 2025, Table 1.1</w:t>
            </w:r>
          </w:p>
        </w:tc>
      </w:tr>
      <w:tr>
        <w:tc>
          <w:tcPr>
            <w:tcW w:type="dxa" w:w="1568"/>
          </w:tcPr>
          <w:p>
            <w:pPr>
              <w:spacing w:before="20" w:after="20"/>
              <w:jc w:val="left"/>
            </w:pPr>
            <w:r>
              <w:rPr>
                <w:rFonts w:ascii="Calibri" w:hAnsi="Calibri"/>
                <w:b/>
                <w:sz w:val="16"/>
              </w:rPr>
              <w:t>Real Estate</w:t>
            </w:r>
          </w:p>
        </w:tc>
        <w:tc>
          <w:tcPr>
            <w:tcW w:type="dxa" w:w="1568"/>
          </w:tcPr>
          <w:p>
            <w:pPr>
              <w:spacing w:before="20" w:after="20"/>
              <w:jc w:val="left"/>
            </w:pPr>
            <w:r>
              <w:rPr>
                <w:rFonts w:ascii="Calibri" w:hAnsi="Calibri"/>
                <w:b w:val="0"/>
                <w:sz w:val="16"/>
              </w:rPr>
              <w:t>Euro area real estate markets</w:t>
            </w:r>
          </w:p>
        </w:tc>
        <w:tc>
          <w:tcPr>
            <w:tcW w:type="dxa" w:w="1568"/>
          </w:tcPr>
          <w:p>
            <w:pPr>
              <w:spacing w:before="20" w:after="20"/>
              <w:jc w:val="left"/>
            </w:pPr>
            <w:r>
              <w:rPr>
                <w:rFonts w:ascii="Calibri" w:hAnsi="Calibri"/>
                <w:b w:val="0"/>
                <w:sz w:val="16"/>
              </w:rPr>
              <w:t>Euro area</w:t>
            </w:r>
          </w:p>
        </w:tc>
        <w:tc>
          <w:tcPr>
            <w:tcW w:type="dxa" w:w="1568"/>
          </w:tcPr>
          <w:p>
            <w:pPr>
              <w:spacing w:before="20" w:after="20"/>
              <w:jc w:val="left"/>
            </w:pPr>
            <w:r>
              <w:rPr>
                <w:rFonts w:ascii="Calibri" w:hAnsi="Calibri"/>
                <w:b w:val="0"/>
                <w:sz w:val="16"/>
              </w:rPr>
              <w:t>Recovering but facing headwinds</w:t>
            </w:r>
          </w:p>
        </w:tc>
        <w:tc>
          <w:tcPr>
            <w:tcW w:type="dxa" w:w="1568"/>
          </w:tcPr>
          <w:p>
            <w:pPr>
              <w:spacing w:before="20" w:after="20"/>
              <w:jc w:val="left"/>
            </w:pPr>
            <w:r>
              <w:rPr>
                <w:rFonts w:ascii="Calibri" w:hAnsi="Calibri"/>
                <w:b w:val="0"/>
                <w:sz w:val="16"/>
              </w:rPr>
              <w:t>Early recovery; fragile</w:t>
            </w:r>
          </w:p>
        </w:tc>
        <w:tc>
          <w:tcPr>
            <w:tcW w:type="dxa" w:w="1568"/>
          </w:tcPr>
          <w:p>
            <w:pPr>
              <w:spacing w:before="20" w:after="20"/>
              <w:jc w:val="left"/>
            </w:pPr>
            <w:r>
              <w:rPr>
                <w:rFonts w:ascii="Calibri" w:hAnsi="Calibri"/>
                <w:b w:val="0"/>
                <w:sz w:val="16"/>
              </w:rPr>
              <w:t>ECB FSR May 2025, Sec. 1.5</w:t>
            </w:r>
          </w:p>
        </w:tc>
      </w:tr>
    </w:tbl>
    <w:p>
      <w:r>
        <w:rPr>
          <w:b/>
          <w:sz w:val="18"/>
        </w:rPr>
        <w:t xml:space="preserve">Table 1: </w:t>
      </w:r>
      <w:r>
        <w:rPr>
          <w:i/>
          <w:sz w:val="18"/>
        </w:rPr>
        <w:t>Key asset valuation indicators — euro area and United States, late 2025</w:t>
      </w:r>
    </w:p>
    <w:p>
      <w:r>
        <w:rPr>
          <w:b/>
          <w:sz w:val="16"/>
        </w:rPr>
        <w:t xml:space="preserve">Sources: </w:t>
      </w:r>
      <w:r>
        <w:rPr>
          <w:color w:val="505050"/>
          <w:sz w:val="16"/>
        </w:rPr>
        <w:t>ECB FSR (May 2025, November 2025); Fed FSR (November 2025). "pp" = percentage points. DSR = debt service ratio.</w:t>
      </w:r>
    </w:p>
    <w:p/>
    <w:p>
      <w:pPr>
        <w:pStyle w:val="Heading1"/>
      </w:pPr>
      <w:r>
        <w:rPr>
          <w:color w:val="003366"/>
        </w:rPr>
        <w:t>3. Assessment by Asset Class</w:t>
      </w:r>
    </w:p>
    <w:p>
      <w:pPr>
        <w:pStyle w:val="Heading2"/>
      </w:pPr>
      <w:r>
        <w:rPr>
          <w:color w:val="003366"/>
        </w:rPr>
        <w:t>3.1 Equity Markets</w:t>
      </w:r>
    </w:p>
    <w:p>
      <w:r>
        <w:t>Equity valuations present the clearest signal of stretch. In the United States, the S&amp;P 500 forward P/E ratio stands "close to the upper end of its historical range"—roughly the 90th percentile—while the equity risk premium (expected earnings yield minus the real 10-year Treasury yield) is "near a 20-year low" (Fed FSR, November 2025, Figures 1.4–1.5). Investors are accepting unusually thin compensation for bearing equity risk, a configuration historically associated with elevated vulnerability to negative shocks.</w:t>
      </w:r>
    </w:p>
    <w:p>
      <w:r>
        <w:t>Euro area equities exhibit a similarly stretched profile. The EURO STOXX 50 "mostly recovered" its April losses by mid-May, accompanied by "signs of a rotation in fund flow dynamics from the United States to the euro area" (ECB FSR, May 2025). While partly reflecting confidence linked to prospective fiscal expansion, this implies euro area equities have not repriced for the deteriorating macro-financial outlook. As the ECB FSR (May 2025) cautioned, "the medium-term implications of tariffs might still challenge risky asset valuations." The rapid post-April compression of implied volatility—the VIX is now "below the historical median" (Fed FSR, November 2025, Figure 1.6)—masks the potential for swift re-emergence of stress given persistently elevated policy uncertainty.</w:t>
      </w:r>
    </w:p>
    <w:p>
      <w:pPr>
        <w:pStyle w:val="Heading2"/>
      </w:pPr>
      <w:r>
        <w:rPr>
          <w:color w:val="003366"/>
        </w:rPr>
        <w:t>3.2 Corporate Credit Markets</w:t>
      </w:r>
    </w:p>
    <w:p>
      <w:r>
        <w:t>Corporate bond markets exhibit the most pronounced disconnect between valuations and fundamentals. U.S. triple-B spreads are approximately 0.7 percentage points below their historical median; high-yield spreads roughly 1.6 percentage points below theirs; the excess bond premium is "below the median of its historical distribution"; and leveraged loan spreads sit at "the low end of their historical distribution since 2009" (Fed FSR, November 2025, Figures 1.8–1.10). These readings imply that credit investors are pricing an exceptionally benign default environment.</w:t>
      </w:r>
    </w:p>
    <w:p>
      <w:r>
        <w:t>This is difficult to reconcile with deteriorating corporate fundamentals. The ECB FSR (November 2025) notes that "corporate vulnerabilities remain elevated as the effects of tariffs take hold," with rising bankruptcies, elevated debt service costs, and a corporate vulnerability index in above-average territory (Charts 1.5–1.6). Manufacturing firms—disproportionately exposed to trade disruptions—display the weakest Altman Z-scores. The ECB FSR (May 2025) highlighted "high valuations and increasing risk concentration" in credit markets, a warning that remains pertinent as spreads offer scant buffer against potential downgrades and defaults.</w:t>
      </w:r>
    </w:p>
    <w:p>
      <w:pPr>
        <w:pStyle w:val="Heading2"/>
      </w:pPr>
      <w:r>
        <w:rPr>
          <w:color w:val="003366"/>
        </w:rPr>
        <w:t>3.3 Sovereign Bond Markets</w:t>
      </w:r>
    </w:p>
    <w:p>
      <w:r>
        <w:t>Euro area sovereign bond markets present pockets of significant vulnerability. Ten-year spreads versus German Bunds have widened for several member states, with some experiencing credit rating downgrades since November 2024 (ECB FSR, November 2025, Chart 3). Several countries combine government debt above 100% of GDP with projected fiscal balances near or exceeding the 3% Maastricht threshold for 2025–26 (Chart 3c). The ECB FSR (May 2025) noted that "increased defence spending needs could exacerbate fiscal pressures for some highly indebted sovereigns with substantial short-term refinancing requirements" (Chart 5); the activation of the national escape clause for 11 euro area countries adds bond supply pressures. The November 2025 edition cautions that "higher issuance and funding costs could strain weak sovereigns, with fiscal slippage or external fiscal stress potentially leading to renewed sovereign fragmentation." In the United States, the nominal Treasury term premium remains near its historical median (Fed FSR, November 2025, Figure 1.2), though this could shift rapidly if fiscal sustainability concerns intensify.</w:t>
      </w:r>
    </w:p>
    <w:p>
      <w:pPr>
        <w:pStyle w:val="Heading2"/>
      </w:pPr>
      <w:r>
        <w:rPr>
          <w:color w:val="003366"/>
        </w:rPr>
        <w:t>3.4 Real Estate Markets</w:t>
      </w:r>
    </w:p>
    <w:p>
      <w:r>
        <w:t>Real estate markets are in a correction or early recovery phase rather than exhibiting stretched valuations. U.S. CRE prices declined 5.6% year-on-year (to Q2 2025), below the long-run average of 5.4%, while residential price growth moderated to 1.4% (Fed FSR, November 2025, Table 1.1). Euro area real estate markets are "recovering" but "may face headwinds from elevated uncertainty" (ECB FSR, May 2025, Section 1.5). While not overvalued, the sector's interest-rate sensitivity and its importance on bank and non-bank balance sheets warrant continued monitoring.</w:t>
      </w:r>
    </w:p>
    <w:p>
      <w:pPr>
        <w:pStyle w:val="Heading1"/>
      </w:pPr>
      <w:r>
        <w:rPr>
          <w:color w:val="003366"/>
        </w:rPr>
        <w:t>4. Most Stretched Asset Classes</w:t>
      </w:r>
    </w:p>
    <w:p>
      <w:pPr>
        <w:pStyle w:val="Heading2"/>
      </w:pPr>
      <w:r>
        <w:rPr>
          <w:color w:val="003366"/>
        </w:rPr>
        <w:t>4.1 Euro Area: Equities and Corporate Credit</w:t>
      </w:r>
    </w:p>
    <w:p>
      <w:r>
        <w:t>The two most stretched asset classes in the euro area are equities and corporate credit. Equity valuations have rebounded to near pre-sell-off levels despite a marked growth deterioration—the ECB FSR (November 2025) notes that "global uncertainties and tariff rates weigh on euro area growth" (Chart 1.1). The May 2025 FSR characterised valuations as "stretched" and markets as "prone to further outsized reactions." Fund flow rotation into euro area equities may have amplified the price-fundamentals divergence. Corporate credit is the second area of acute stretch: "high valuations and increasing risk concentration" coexist with "elevated" vulnerabilities, rising bankruptcies, and high debt service ratios (ECB FSR, November 2025). The manufacturing sector, accounting for a significant share of euro area employment and bank credit, is disproportionately exposed to tariff shocks (Chart 4). Compressed credit risk premia in this environment represent a material mispricing of downside risks.</w:t>
      </w:r>
    </w:p>
    <w:p>
      <w:pPr>
        <w:pStyle w:val="Heading2"/>
      </w:pPr>
      <w:r>
        <w:rPr>
          <w:color w:val="003366"/>
        </w:rPr>
        <w:t>4.2 United States: Equities and Corporate Bonds</w:t>
      </w:r>
    </w:p>
    <w:p>
      <w:r>
        <w:t>In the United States, equities and corporate bonds are the two most stretched classes, with overvaluation more precisely quantified. The S&amp;P 500 forward P/E at roughly the 90th percentile and the equity risk premium at a 20-year low provide unusually clear signals (Fed FSR, November 2025, Figures 1.4–1.5). On the credit side, IG and HY spreads at 0.7 and 1.6 percentage points below their historical medians, the excess bond premium below its long-run average, and leveraged loan spreads at the bottom of their post-2009 distribution constitute one of the tightest credit valuation configurations of the post-GFC period (Figures 1.8–1.10).</w:t>
      </w:r>
    </w:p>
    <w:p>
      <w:pPr>
        <w:pStyle w:val="Heading1"/>
      </w:pPr>
      <w:r>
        <w:rPr>
          <w:color w:val="003366"/>
        </w:rPr>
        <w:t>5. Potential Triggers and Amplification Mechanisms</w:t>
      </w:r>
    </w:p>
    <w:p>
      <w:r>
        <w:t>Several catalysts could trigger a sharp repricing across stretched asset classes, interacting with amplification mechanisms that raise the risk of disorderly propagation.</w:t>
      </w:r>
    </w:p>
    <w:p>
      <w:r>
        <w:t>Trade policy escalation remains the most immediate trigger. The U.S. effective tariff rate rose sharply in 2025, while the global trade policy uncertainty index stands far above its 2015–24 average (ECB FSR, November 2025, Chart 1.1). The April 2025 tariff announcement triggered "a major sell-off in riskier assets, with magnitudes not seen since the early stages of the COVID-19 pandemic" (ECB FSR, May 2025). Although markets rebounded after the 90-day tariff pause, the trade policy trajectory remains unresolved; renewed escalation targeting European exports would directly impact the manufacturing-intensive sectors where corporate vulnerabilities are already elevated.</w:t>
      </w:r>
    </w:p>
    <w:p>
      <w:r>
        <w:t>Fiscal sustainability concerns represent a second trigger, particularly for the euro area. Defence spending needs, high debt levels, and substantial near-term refinancing requirements "could exacerbate fiscal pressures" (ECB FSR, May 2025, Chart 5). The November 2025 edition warns of "a potential reassessment of risk by investors" that could reignite the sovereign-bank nexus—the feedback loop in which deteriorating sovereign creditworthiness impairs bank balance sheets via bond holdings, and bank distress feeds back to the sovereign through contingent liabilities. Strengthening funding ties between banks and non-banks create additional contagion channels (ECB FSR, November 2025, Special Feature on systemic risks in bank-NBFI linkages).</w:t>
      </w:r>
    </w:p>
    <w:p>
      <w:r>
        <w:t>Third, the NBFI sector could amplify rather than absorb shocks. The ECB FSR (May 2025) documented increasing leverage among euro area investment funds alongside declining liquidity buffers. Forced deleveraging via fire sales to meet margin calls or redemptions—consistent with the April 2025 episode where "an unwinding of asset swap or basis trade positions contribut[ed] to the sell-off in US Treasuries" (ECB FSR, May 2025)—could transmit stress across markets. The Fed FSR (November 2025) similarly notes that hedge fund leverage "has steadily increased across a broad range of strategies."</w:t>
      </w:r>
    </w:p>
    <w:p>
      <w:r>
        <w:t>Fourth, corporate-to-household feedback loops could render sectoral stress systemic. The ECB FSR (November 2025) observes that corporate vulnerabilities "potentially weaken[...] household resilience if layoffs affect their debt servicing capacity" (Chart 4). The misery index has risen, and a rolling recession dynamic (Box 1) could cascade sector-specific downturns into a broader macro-financial shock.</w:t>
      </w:r>
    </w:p>
    <w:p>
      <w:pPr>
        <w:pStyle w:val="Heading1"/>
      </w:pPr>
      <w:r>
        <w:rPr>
          <w:color w:val="003366"/>
        </w:rPr>
        <w:t>6. Overall Vulnerability Assessment</w:t>
      </w:r>
    </w:p>
    <w:p>
      <w:r>
        <w:t>The evidence reviewed supports an overall asset valuation vulnerability rating of ELEVATED for both the euro area and the United States. This assessment rests on four pillars.</w:t>
      </w:r>
    </w:p>
    <w:p>
      <w:r>
        <w:t>First, equity valuations are stretched to levels historically associated with heightened vulnerability—the S&amp;P 500 forward P/E at roughly the 90th percentile and the equity risk premium at a 20-year low for the United States, with ECB FSR assessments pointing to comparable stretch in euro area equities.</w:t>
      </w:r>
    </w:p>
    <w:p>
      <w:r>
        <w:t>Second, credit markets exhibit a pronounced disconnect between historically tight spreads and deteriorating corporate fundamentals. U.S. IG and HY spreads at 0.7 and 1.6 percentage points below their historical medians imply a benign default outlook inconsistent with rising bankruptcies, elevated debt service costs, and intensifying tariff headwinds in the euro area.</w:t>
      </w:r>
    </w:p>
    <w:p>
      <w:r>
        <w:t>Third, euro area sovereign bond markets face renewed fragmentation risk from high debt levels, increased defence spending needs, and potential investor reassessment of sovereign credit risk. The sovereign-bank-NBFI nexus creates channels for rapid cross-asset and cross-border transmission.</w:t>
      </w:r>
    </w:p>
    <w:p>
      <w:r>
        <w:t>Fourth, stretched valuations coexist with elevated macro-financial uncertainty—trade policy, geopolitics, and fiscal sustainability—creating an environment where multiple triggers could materialise simultaneously. The April 2025 episode, when a single policy announcement generated cross-asset volatility unseen since the COVID-19 shock, illustrates the fragility of the current equilibrium. Narrow risk premia across asset classes suggest markets are poorly positioned for the materialisation of the tail risks identified in this Review.</w:t>
      </w:r>
    </w:p>
    <w:p/>
    <w:p>
      <w:r>
        <w:rPr>
          <w:b/>
          <w:color w:val="B43200"/>
          <w:sz w:val="22"/>
        </w:rPr>
        <w:t xml:space="preserve">Vulnerability rating: ELEVATED </w:t>
      </w:r>
      <w:r>
        <w:rPr>
          <w:i/>
          <w:sz w:val="20"/>
        </w:rPr>
        <w:t>(scale: Low / Moderate / Elevated / High). This rating reflects the simultaneous compression of risk premia across equities and corporate credit, set against deteriorating macro-financial fundamentals and multiple plausible repricing triggers.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