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Asset Valuations: Stretched Markets in a High-Uncertainty Environment</w:t>
      </w:r>
    </w:p>
    <w:p>
      <w:r>
        <w:rPr>
          <w:i/>
          <w:color w:val="646464"/>
          <w:sz w:val="20"/>
        </w:rPr>
        <w:t>Contribution to the ECB Financial Stability Review, November 2025</w:t>
      </w:r>
    </w:p>
    <w:p/>
    <w:p>
      <w:pPr>
        <w:pStyle w:val="Heading2"/>
      </w:pPr>
      <w:r>
        <w:t>1. Overall Assessment</w:t>
      </w:r>
    </w:p>
    <w:p>
      <w:r>
        <w:t xml:space="preserve">Euro area asset valuations remain </w:t>
      </w:r>
      <w:r>
        <w:rPr>
          <w:b/>
        </w:rPr>
        <w:t>elevated</w:t>
      </w:r>
      <w:r>
        <w:t xml:space="preserve"> across multiple asset classes entering the final quarter of 2025. Following the sharper-than-expected US tariffs of 2 April, risk assets sold off sharply, then rebounded after the 90-day tariff pause and recovered most losses by mid-May (ECB FSR, May 2025). By late 2025, equity indices neared pre-shock highs, corporate bond spreads tightened to historically compressed levels, and real estate markets showed tentative stabilisation. Yet these valuations discount an environment of elevated macroeconomic and policy uncertainty—from unresolved trade tensions, geopolitical fragmentation, fiscal sustainability concerns, and persistent inflation risks—leaving thin margin for disappointment. As the ECB FSR of May 2025 warned, "stretched valuations and declining non-bank liquidity make markets prone to further outsized reactions." The overall vulnerability rating for asset valuations is </w:t>
      </w:r>
      <w:r>
        <w:rPr>
          <w:b/>
        </w:rPr>
        <w:t>elevated</w:t>
      </w:r>
      <w:r>
        <w:t>.</w:t>
      </w:r>
    </w:p>
    <w:p>
      <w:pPr>
        <w:pStyle w:val="Heading2"/>
      </w:pPr>
      <w:r>
        <w:t>2. Key Asset Valuation Indicators</w:t>
      </w:r>
    </w:p>
    <w:p>
      <w:r>
        <w:rPr>
          <w:sz w:val="21"/>
        </w:rPr>
        <w:t>Table 1 summarises key valuation metrics across main asset classes, drawing on the ECB FSR (May and November 2025) and the Federal Reserve FSR (November 2025). For each indicator, the latest level and its historical position are as characterised in the source documents.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304"/>
            <w:shd w:fill="003366" w:val="clear"/>
          </w:tcPr>
          <w:p>
            <w:pPr>
              <w:jc w:val="center"/>
            </w:pPr>
            <w:r/>
            <w:r>
              <w:rPr>
                <w:b/>
                <w:color w:val="FFFFFF"/>
                <w:sz w:val="17"/>
              </w:rPr>
              <w:t>Asset Class</w:t>
            </w:r>
          </w:p>
        </w:tc>
        <w:tc>
          <w:tcPr>
            <w:tcW w:type="dxa" w:w="1644"/>
            <w:shd w:fill="003366" w:val="clear"/>
          </w:tcPr>
          <w:p>
            <w:pPr>
              <w:jc w:val="center"/>
            </w:pPr>
            <w:r/>
            <w:r>
              <w:rPr>
                <w:b/>
                <w:color w:val="FFFFFF"/>
                <w:sz w:val="17"/>
              </w:rPr>
              <w:t>Indicator</w:t>
            </w:r>
          </w:p>
        </w:tc>
        <w:tc>
          <w:tcPr>
            <w:tcW w:type="dxa" w:w="680"/>
            <w:shd w:fill="003366" w:val="clear"/>
          </w:tcPr>
          <w:p>
            <w:pPr>
              <w:jc w:val="center"/>
            </w:pPr>
            <w:r/>
            <w:r>
              <w:rPr>
                <w:b/>
                <w:color w:val="FFFFFF"/>
                <w:sz w:val="17"/>
              </w:rPr>
              <w:t>Region</w:t>
            </w:r>
          </w:p>
        </w:tc>
        <w:tc>
          <w:tcPr>
            <w:tcW w:type="dxa" w:w="1531"/>
            <w:shd w:fill="003366" w:val="clear"/>
          </w:tcPr>
          <w:p>
            <w:pPr>
              <w:jc w:val="center"/>
            </w:pPr>
            <w:r/>
            <w:r>
              <w:rPr>
                <w:b/>
                <w:color w:val="FFFFFF"/>
                <w:sz w:val="17"/>
              </w:rPr>
              <w:t>Latest Level</w:t>
              <w:br/>
              <w:t>(late 2025)</w:t>
            </w:r>
          </w:p>
        </w:tc>
        <w:tc>
          <w:tcPr>
            <w:tcW w:type="dxa" w:w="1757"/>
            <w:shd w:fill="003366" w:val="clear"/>
          </w:tcPr>
          <w:p>
            <w:pPr>
              <w:jc w:val="center"/>
            </w:pPr>
            <w:r/>
            <w:r>
              <w:rPr>
                <w:b/>
                <w:color w:val="FFFFFF"/>
                <w:sz w:val="17"/>
              </w:rPr>
              <w:t>Historical Position</w:t>
            </w:r>
          </w:p>
        </w:tc>
        <w:tc>
          <w:tcPr>
            <w:tcW w:type="dxa" w:w="1134"/>
            <w:shd w:fill="003366" w:val="clear"/>
          </w:tcPr>
          <w:p>
            <w:pPr>
              <w:jc w:val="center"/>
            </w:pPr>
            <w:r/>
            <w:r>
              <w:rPr>
                <w:b/>
                <w:color w:val="FFFFFF"/>
                <w:sz w:val="17"/>
              </w:rPr>
              <w:t>Source</w:t>
            </w:r>
          </w:p>
        </w:tc>
      </w:tr>
      <w:tr>
        <w:tc>
          <w:tcPr>
            <w:tcW w:type="dxa" w:w="1304"/>
          </w:tcPr>
          <w:p>
            <w:r/>
            <w:r>
              <w:rPr>
                <w:sz w:val="16"/>
              </w:rPr>
              <w:t>Public Equities</w:t>
            </w:r>
          </w:p>
        </w:tc>
        <w:tc>
          <w:tcPr>
            <w:tcW w:type="dxa" w:w="1644"/>
          </w:tcPr>
          <w:p>
            <w:r/>
            <w:r>
              <w:rPr>
                <w:sz w:val="16"/>
              </w:rPr>
              <w:t>Forward P/E (S&amp;P 500)</w:t>
            </w:r>
          </w:p>
        </w:tc>
        <w:tc>
          <w:tcPr>
            <w:tcW w:type="dxa" w:w="680"/>
          </w:tcPr>
          <w:p>
            <w:r/>
            <w:r>
              <w:rPr>
                <w:sz w:val="16"/>
              </w:rPr>
              <w:t>US</w:t>
            </w:r>
          </w:p>
        </w:tc>
        <w:tc>
          <w:tcPr>
            <w:tcW w:type="dxa" w:w="1531"/>
          </w:tcPr>
          <w:p>
            <w:r/>
            <w:r>
              <w:rPr>
                <w:sz w:val="16"/>
              </w:rPr>
              <w:t>Elevated</w:t>
            </w:r>
          </w:p>
        </w:tc>
        <w:tc>
          <w:tcPr>
            <w:tcW w:type="dxa" w:w="1757"/>
          </w:tcPr>
          <w:p>
            <w:r/>
            <w:r>
              <w:rPr>
                <w:sz w:val="16"/>
              </w:rPr>
              <w:t>Upper end of range</w:t>
              <w:br/>
              <w:t>(~90th pct.)</w:t>
            </w:r>
          </w:p>
        </w:tc>
        <w:tc>
          <w:tcPr>
            <w:tcW w:type="dxa" w:w="1134"/>
          </w:tcPr>
          <w:p>
            <w:r/>
            <w:r>
              <w:rPr>
                <w:sz w:val="16"/>
              </w:rPr>
              <w:t>Fed FSR Nov 2025</w:t>
            </w:r>
          </w:p>
        </w:tc>
      </w:tr>
      <w:tr>
        <w:tc>
          <w:tcPr>
            <w:tcW w:type="dxa" w:w="1304"/>
          </w:tcPr>
          <w:p>
            <w:r/>
            <w:r>
              <w:rPr>
                <w:sz w:val="16"/>
              </w:rPr>
              <w:t>Public Equities</w:t>
            </w:r>
          </w:p>
        </w:tc>
        <w:tc>
          <w:tcPr>
            <w:tcW w:type="dxa" w:w="1644"/>
          </w:tcPr>
          <w:p>
            <w:r/>
            <w:r>
              <w:rPr>
                <w:sz w:val="16"/>
              </w:rPr>
              <w:t>Equity risk premium</w:t>
            </w:r>
          </w:p>
        </w:tc>
        <w:tc>
          <w:tcPr>
            <w:tcW w:type="dxa" w:w="680"/>
          </w:tcPr>
          <w:p>
            <w:r/>
            <w:r>
              <w:rPr>
                <w:sz w:val="16"/>
              </w:rPr>
              <w:t>US</w:t>
            </w:r>
          </w:p>
        </w:tc>
        <w:tc>
          <w:tcPr>
            <w:tcW w:type="dxa" w:w="1531"/>
          </w:tcPr>
          <w:p>
            <w:r/>
            <w:r>
              <w:rPr>
                <w:sz w:val="16"/>
              </w:rPr>
              <w:t>Compressed</w:t>
            </w:r>
          </w:p>
        </w:tc>
        <w:tc>
          <w:tcPr>
            <w:tcW w:type="dxa" w:w="1757"/>
          </w:tcPr>
          <w:p>
            <w:r/>
            <w:r>
              <w:rPr>
                <w:sz w:val="16"/>
              </w:rPr>
              <w:t>Near 20-year low</w:t>
            </w:r>
          </w:p>
        </w:tc>
        <w:tc>
          <w:tcPr>
            <w:tcW w:type="dxa" w:w="1134"/>
          </w:tcPr>
          <w:p>
            <w:r/>
            <w:r>
              <w:rPr>
                <w:sz w:val="16"/>
              </w:rPr>
              <w:t>Fed FSR Nov 2025</w:t>
            </w:r>
          </w:p>
        </w:tc>
      </w:tr>
      <w:tr>
        <w:tc>
          <w:tcPr>
            <w:tcW w:type="dxa" w:w="1304"/>
          </w:tcPr>
          <w:p>
            <w:r/>
            <w:r>
              <w:rPr>
                <w:sz w:val="16"/>
              </w:rPr>
              <w:t>Public Equities</w:t>
            </w:r>
          </w:p>
        </w:tc>
        <w:tc>
          <w:tcPr>
            <w:tcW w:type="dxa" w:w="1644"/>
          </w:tcPr>
          <w:p>
            <w:r/>
            <w:r>
              <w:rPr>
                <w:sz w:val="16"/>
              </w:rPr>
              <w:t>EURO STOXX 50 /</w:t>
              <w:br/>
              <w:t>euro area equities</w:t>
            </w:r>
          </w:p>
        </w:tc>
        <w:tc>
          <w:tcPr>
            <w:tcW w:type="dxa" w:w="680"/>
          </w:tcPr>
          <w:p>
            <w:r/>
            <w:r>
              <w:rPr>
                <w:sz w:val="16"/>
              </w:rPr>
              <w:t>EA</w:t>
            </w:r>
          </w:p>
        </w:tc>
        <w:tc>
          <w:tcPr>
            <w:tcW w:type="dxa" w:w="1531"/>
          </w:tcPr>
          <w:p>
            <w:r/>
            <w:r>
              <w:rPr>
                <w:sz w:val="16"/>
              </w:rPr>
              <w:t>Rebounded to</w:t>
              <w:br/>
              <w:t>pre-shock highs</w:t>
            </w:r>
          </w:p>
        </w:tc>
        <w:tc>
          <w:tcPr>
            <w:tcW w:type="dxa" w:w="1757"/>
          </w:tcPr>
          <w:p>
            <w:r/>
            <w:r>
              <w:rPr>
                <w:sz w:val="16"/>
              </w:rPr>
              <w:t>Stretched; flagged as</w:t>
              <w:br/>
              <w:t>vulnerability</w:t>
            </w:r>
          </w:p>
        </w:tc>
        <w:tc>
          <w:tcPr>
            <w:tcW w:type="dxa" w:w="1134"/>
          </w:tcPr>
          <w:p>
            <w:r/>
            <w:r>
              <w:rPr>
                <w:sz w:val="16"/>
              </w:rPr>
              <w:t>ECB FSR May 2025</w:t>
            </w:r>
          </w:p>
        </w:tc>
      </w:tr>
      <w:tr>
        <w:tc>
          <w:tcPr>
            <w:tcW w:type="dxa" w:w="1304"/>
          </w:tcPr>
          <w:p>
            <w:r/>
            <w:r>
              <w:rPr>
                <w:sz w:val="16"/>
              </w:rPr>
              <w:t>Corporate Credit (IG)</w:t>
            </w:r>
          </w:p>
        </w:tc>
        <w:tc>
          <w:tcPr>
            <w:tcW w:type="dxa" w:w="1644"/>
          </w:tcPr>
          <w:p>
            <w:r/>
            <w:r>
              <w:rPr>
                <w:sz w:val="16"/>
              </w:rPr>
              <w:t>Triple-B spread</w:t>
              <w:br/>
              <w:t>vs. Treasuries</w:t>
            </w:r>
          </w:p>
        </w:tc>
        <w:tc>
          <w:tcPr>
            <w:tcW w:type="dxa" w:w="680"/>
          </w:tcPr>
          <w:p>
            <w:r/>
            <w:r>
              <w:rPr>
                <w:sz w:val="16"/>
              </w:rPr>
              <w:t>US</w:t>
            </w:r>
          </w:p>
        </w:tc>
        <w:tc>
          <w:tcPr>
            <w:tcW w:type="dxa" w:w="1531"/>
          </w:tcPr>
          <w:p>
            <w:r/>
            <w:r>
              <w:rPr>
                <w:sz w:val="16"/>
              </w:rPr>
              <w:t>~0.7 pp below</w:t>
              <w:br/>
              <w:t>historical median</w:t>
            </w:r>
          </w:p>
        </w:tc>
        <w:tc>
          <w:tcPr>
            <w:tcW w:type="dxa" w:w="1757"/>
          </w:tcPr>
          <w:p>
            <w:r/>
            <w:r>
              <w:rPr>
                <w:sz w:val="16"/>
              </w:rPr>
              <w:t>Well below median</w:t>
            </w:r>
          </w:p>
        </w:tc>
        <w:tc>
          <w:tcPr>
            <w:tcW w:type="dxa" w:w="1134"/>
          </w:tcPr>
          <w:p>
            <w:r/>
            <w:r>
              <w:rPr>
                <w:sz w:val="16"/>
              </w:rPr>
              <w:t>Fed FSR Nov 2025</w:t>
            </w:r>
          </w:p>
        </w:tc>
      </w:tr>
      <w:tr>
        <w:tc>
          <w:tcPr>
            <w:tcW w:type="dxa" w:w="1304"/>
          </w:tcPr>
          <w:p>
            <w:r/>
            <w:r>
              <w:rPr>
                <w:sz w:val="16"/>
              </w:rPr>
              <w:t>Corporate Credit (HY)</w:t>
            </w:r>
          </w:p>
        </w:tc>
        <w:tc>
          <w:tcPr>
            <w:tcW w:type="dxa" w:w="1644"/>
          </w:tcPr>
          <w:p>
            <w:r/>
            <w:r>
              <w:rPr>
                <w:sz w:val="16"/>
              </w:rPr>
              <w:t>High-yield spread</w:t>
              <w:br/>
              <w:t>vs. Treasuries</w:t>
            </w:r>
          </w:p>
        </w:tc>
        <w:tc>
          <w:tcPr>
            <w:tcW w:type="dxa" w:w="680"/>
          </w:tcPr>
          <w:p>
            <w:r/>
            <w:r>
              <w:rPr>
                <w:sz w:val="16"/>
              </w:rPr>
              <w:t>US</w:t>
            </w:r>
          </w:p>
        </w:tc>
        <w:tc>
          <w:tcPr>
            <w:tcW w:type="dxa" w:w="1531"/>
          </w:tcPr>
          <w:p>
            <w:r/>
            <w:r>
              <w:rPr>
                <w:sz w:val="16"/>
              </w:rPr>
              <w:t>~1.6 pp below</w:t>
              <w:br/>
              <w:t>historical median</w:t>
            </w:r>
          </w:p>
        </w:tc>
        <w:tc>
          <w:tcPr>
            <w:tcW w:type="dxa" w:w="1757"/>
          </w:tcPr>
          <w:p>
            <w:r/>
            <w:r>
              <w:rPr>
                <w:sz w:val="16"/>
              </w:rPr>
              <w:t>Well below median</w:t>
            </w:r>
          </w:p>
        </w:tc>
        <w:tc>
          <w:tcPr>
            <w:tcW w:type="dxa" w:w="1134"/>
          </w:tcPr>
          <w:p>
            <w:r/>
            <w:r>
              <w:rPr>
                <w:sz w:val="16"/>
              </w:rPr>
              <w:t>Fed FSR Nov 2025</w:t>
            </w:r>
          </w:p>
        </w:tc>
      </w:tr>
      <w:tr>
        <w:tc>
          <w:tcPr>
            <w:tcW w:type="dxa" w:w="1304"/>
          </w:tcPr>
          <w:p>
            <w:r/>
            <w:r>
              <w:rPr>
                <w:sz w:val="16"/>
              </w:rPr>
              <w:t>Corporate Credit</w:t>
            </w:r>
          </w:p>
        </w:tc>
        <w:tc>
          <w:tcPr>
            <w:tcW w:type="dxa" w:w="1644"/>
          </w:tcPr>
          <w:p>
            <w:r/>
            <w:r>
              <w:rPr>
                <w:sz w:val="16"/>
              </w:rPr>
              <w:t>Excess bond premium</w:t>
            </w:r>
          </w:p>
        </w:tc>
        <w:tc>
          <w:tcPr>
            <w:tcW w:type="dxa" w:w="680"/>
          </w:tcPr>
          <w:p>
            <w:r/>
            <w:r>
              <w:rPr>
                <w:sz w:val="16"/>
              </w:rPr>
              <w:t>US</w:t>
            </w:r>
          </w:p>
        </w:tc>
        <w:tc>
          <w:tcPr>
            <w:tcW w:type="dxa" w:w="1531"/>
          </w:tcPr>
          <w:p>
            <w:r/>
            <w:r>
              <w:rPr>
                <w:sz w:val="16"/>
              </w:rPr>
              <w:t>Negative/compressed</w:t>
            </w:r>
          </w:p>
        </w:tc>
        <w:tc>
          <w:tcPr>
            <w:tcW w:type="dxa" w:w="1757"/>
          </w:tcPr>
          <w:p>
            <w:r/>
            <w:r>
              <w:rPr>
                <w:sz w:val="16"/>
              </w:rPr>
              <w:t>Below long-run average</w:t>
            </w:r>
          </w:p>
        </w:tc>
        <w:tc>
          <w:tcPr>
            <w:tcW w:type="dxa" w:w="1134"/>
          </w:tcPr>
          <w:p>
            <w:r/>
            <w:r>
              <w:rPr>
                <w:sz w:val="16"/>
              </w:rPr>
              <w:t>Fed FSR Nov 2025</w:t>
            </w:r>
          </w:p>
        </w:tc>
      </w:tr>
      <w:tr>
        <w:tc>
          <w:tcPr>
            <w:tcW w:type="dxa" w:w="1304"/>
          </w:tcPr>
          <w:p>
            <w:r/>
            <w:r>
              <w:rPr>
                <w:sz w:val="16"/>
              </w:rPr>
              <w:t>Corporate Credit</w:t>
            </w:r>
          </w:p>
        </w:tc>
        <w:tc>
          <w:tcPr>
            <w:tcW w:type="dxa" w:w="1644"/>
          </w:tcPr>
          <w:p>
            <w:r/>
            <w:r>
              <w:rPr>
                <w:sz w:val="16"/>
              </w:rPr>
              <w:t>Leveraged loan spreads</w:t>
              <w:br/>
              <w:t>(secondary)</w:t>
            </w:r>
          </w:p>
        </w:tc>
        <w:tc>
          <w:tcPr>
            <w:tcW w:type="dxa" w:w="680"/>
          </w:tcPr>
          <w:p>
            <w:r/>
            <w:r>
              <w:rPr>
                <w:sz w:val="16"/>
              </w:rPr>
              <w:t>US</w:t>
            </w:r>
          </w:p>
        </w:tc>
        <w:tc>
          <w:tcPr>
            <w:tcW w:type="dxa" w:w="1531"/>
          </w:tcPr>
          <w:p>
            <w:r/>
            <w:r>
              <w:rPr>
                <w:sz w:val="16"/>
              </w:rPr>
              <w:t>Moderated further</w:t>
            </w:r>
          </w:p>
        </w:tc>
        <w:tc>
          <w:tcPr>
            <w:tcW w:type="dxa" w:w="1757"/>
          </w:tcPr>
          <w:p>
            <w:r/>
            <w:r>
              <w:rPr>
                <w:sz w:val="16"/>
              </w:rPr>
              <w:t>Low end since 2009</w:t>
            </w:r>
          </w:p>
        </w:tc>
        <w:tc>
          <w:tcPr>
            <w:tcW w:type="dxa" w:w="1134"/>
          </w:tcPr>
          <w:p>
            <w:r/>
            <w:r>
              <w:rPr>
                <w:sz w:val="16"/>
              </w:rPr>
              <w:t>Fed FSR Nov 2025</w:t>
            </w:r>
          </w:p>
        </w:tc>
      </w:tr>
      <w:tr>
        <w:tc>
          <w:tcPr>
            <w:tcW w:type="dxa" w:w="1304"/>
          </w:tcPr>
          <w:p>
            <w:r/>
            <w:r>
              <w:rPr>
                <w:sz w:val="16"/>
              </w:rPr>
              <w:t>Corporate Credit</w:t>
            </w:r>
          </w:p>
        </w:tc>
        <w:tc>
          <w:tcPr>
            <w:tcW w:type="dxa" w:w="1644"/>
          </w:tcPr>
          <w:p>
            <w:r/>
            <w:r>
              <w:rPr>
                <w:sz w:val="16"/>
              </w:rPr>
              <w:t>Corporate vulnerability</w:t>
              <w:br/>
              <w:t>index / Altman Z-scores</w:t>
            </w:r>
          </w:p>
        </w:tc>
        <w:tc>
          <w:tcPr>
            <w:tcW w:type="dxa" w:w="680"/>
          </w:tcPr>
          <w:p>
            <w:r/>
            <w:r>
              <w:rPr>
                <w:sz w:val="16"/>
              </w:rPr>
              <w:t>EA</w:t>
            </w:r>
          </w:p>
        </w:tc>
        <w:tc>
          <w:tcPr>
            <w:tcW w:type="dxa" w:w="1531"/>
          </w:tcPr>
          <w:p>
            <w:r/>
            <w:r>
              <w:rPr>
                <w:sz w:val="16"/>
              </w:rPr>
              <w:t>Elevated; mfg weakest</w:t>
            </w:r>
          </w:p>
        </w:tc>
        <w:tc>
          <w:tcPr>
            <w:tcW w:type="dxa" w:w="1757"/>
          </w:tcPr>
          <w:p>
            <w:r/>
            <w:r>
              <w:rPr>
                <w:sz w:val="16"/>
              </w:rPr>
              <w:t>Deteriorating vs. norms</w:t>
            </w:r>
          </w:p>
        </w:tc>
        <w:tc>
          <w:tcPr>
            <w:tcW w:type="dxa" w:w="1134"/>
          </w:tcPr>
          <w:p>
            <w:r/>
            <w:r>
              <w:rPr>
                <w:sz w:val="16"/>
              </w:rPr>
              <w:t>ECB FSR Nov 2025</w:t>
            </w:r>
          </w:p>
        </w:tc>
      </w:tr>
      <w:tr>
        <w:tc>
          <w:tcPr>
            <w:tcW w:type="dxa" w:w="1304"/>
          </w:tcPr>
          <w:p>
            <w:r/>
            <w:r>
              <w:rPr>
                <w:sz w:val="16"/>
              </w:rPr>
              <w:t>Sovereign Bonds</w:t>
            </w:r>
          </w:p>
        </w:tc>
        <w:tc>
          <w:tcPr>
            <w:tcW w:type="dxa" w:w="1644"/>
          </w:tcPr>
          <w:p>
            <w:r/>
            <w:r>
              <w:rPr>
                <w:sz w:val="16"/>
              </w:rPr>
              <w:t>10y spreads</w:t>
              <w:br/>
              <w:t>vs. German Bund</w:t>
            </w:r>
          </w:p>
        </w:tc>
        <w:tc>
          <w:tcPr>
            <w:tcW w:type="dxa" w:w="680"/>
          </w:tcPr>
          <w:p>
            <w:r/>
            <w:r>
              <w:rPr>
                <w:sz w:val="16"/>
              </w:rPr>
              <w:t>EA</w:t>
            </w:r>
          </w:p>
        </w:tc>
        <w:tc>
          <w:tcPr>
            <w:tcW w:type="dxa" w:w="1531"/>
          </w:tcPr>
          <w:p>
            <w:r/>
            <w:r>
              <w:rPr>
                <w:sz w:val="16"/>
              </w:rPr>
              <w:t>Widening for</w:t>
              <w:br/>
              <w:t>high-debt countries</w:t>
            </w:r>
          </w:p>
        </w:tc>
        <w:tc>
          <w:tcPr>
            <w:tcW w:type="dxa" w:w="1757"/>
          </w:tcPr>
          <w:p>
            <w:r/>
            <w:r>
              <w:rPr>
                <w:sz w:val="16"/>
              </w:rPr>
              <w:t>Dispersion increasing;</w:t>
              <w:br/>
              <w:t>rating revisions ongoing</w:t>
            </w:r>
          </w:p>
        </w:tc>
        <w:tc>
          <w:tcPr>
            <w:tcW w:type="dxa" w:w="1134"/>
          </w:tcPr>
          <w:p>
            <w:r/>
            <w:r>
              <w:rPr>
                <w:sz w:val="16"/>
              </w:rPr>
              <w:t>ECB FSR Nov 2025</w:t>
            </w:r>
          </w:p>
        </w:tc>
      </w:tr>
      <w:tr>
        <w:tc>
          <w:tcPr>
            <w:tcW w:type="dxa" w:w="1304"/>
          </w:tcPr>
          <w:p>
            <w:r/>
            <w:r>
              <w:rPr>
                <w:sz w:val="16"/>
              </w:rPr>
              <w:t>Sovereign Bonds</w:t>
            </w:r>
          </w:p>
        </w:tc>
        <w:tc>
          <w:tcPr>
            <w:tcW w:type="dxa" w:w="1644"/>
          </w:tcPr>
          <w:p>
            <w:r/>
            <w:r>
              <w:rPr>
                <w:sz w:val="16"/>
              </w:rPr>
              <w:t>Treasury term premium</w:t>
            </w:r>
          </w:p>
        </w:tc>
        <w:tc>
          <w:tcPr>
            <w:tcW w:type="dxa" w:w="680"/>
          </w:tcPr>
          <w:p>
            <w:r/>
            <w:r>
              <w:rPr>
                <w:sz w:val="16"/>
              </w:rPr>
              <w:t>US</w:t>
            </w:r>
          </w:p>
        </w:tc>
        <w:tc>
          <w:tcPr>
            <w:tcW w:type="dxa" w:w="1531"/>
          </w:tcPr>
          <w:p>
            <w:r/>
            <w:r>
              <w:rPr>
                <w:sz w:val="16"/>
              </w:rPr>
              <w:t>Near median</w:t>
            </w:r>
          </w:p>
        </w:tc>
        <w:tc>
          <w:tcPr>
            <w:tcW w:type="dxa" w:w="1757"/>
          </w:tcPr>
          <w:p>
            <w:r/>
            <w:r>
              <w:rPr>
                <w:sz w:val="16"/>
              </w:rPr>
              <w:t>Median of distribution</w:t>
            </w:r>
          </w:p>
        </w:tc>
        <w:tc>
          <w:tcPr>
            <w:tcW w:type="dxa" w:w="1134"/>
          </w:tcPr>
          <w:p>
            <w:r/>
            <w:r>
              <w:rPr>
                <w:sz w:val="16"/>
              </w:rPr>
              <w:t>Fed FSR Nov 2025</w:t>
            </w:r>
          </w:p>
        </w:tc>
      </w:tr>
      <w:tr>
        <w:tc>
          <w:tcPr>
            <w:tcW w:type="dxa" w:w="1304"/>
          </w:tcPr>
          <w:p>
            <w:r/>
            <w:r>
              <w:rPr>
                <w:sz w:val="16"/>
              </w:rPr>
              <w:t>Real Estate (Resi.)</w:t>
            </w:r>
          </w:p>
        </w:tc>
        <w:tc>
          <w:tcPr>
            <w:tcW w:type="dxa" w:w="1644"/>
          </w:tcPr>
          <w:p>
            <w:r/>
            <w:r>
              <w:rPr>
                <w:sz w:val="16"/>
              </w:rPr>
              <w:t>House price growth</w:t>
              <w:br/>
              <w:t>(y/y, real)</w:t>
            </w:r>
          </w:p>
        </w:tc>
        <w:tc>
          <w:tcPr>
            <w:tcW w:type="dxa" w:w="680"/>
          </w:tcPr>
          <w:p>
            <w:r/>
            <w:r>
              <w:rPr>
                <w:sz w:val="16"/>
              </w:rPr>
              <w:t>US</w:t>
            </w:r>
          </w:p>
        </w:tc>
        <w:tc>
          <w:tcPr>
            <w:tcW w:type="dxa" w:w="1531"/>
          </w:tcPr>
          <w:p>
            <w:r/>
            <w:r>
              <w:rPr>
                <w:sz w:val="16"/>
              </w:rPr>
              <w:t>0.3–1.7% y/y</w:t>
            </w:r>
          </w:p>
        </w:tc>
        <w:tc>
          <w:tcPr>
            <w:tcW w:type="dxa" w:w="1757"/>
          </w:tcPr>
          <w:p>
            <w:r/>
            <w:r>
              <w:rPr>
                <w:sz w:val="16"/>
              </w:rPr>
              <w:t>Moderate; below avg.</w:t>
              <w:br/>
              <w:t>(6.2%)</w:t>
            </w:r>
          </w:p>
        </w:tc>
        <w:tc>
          <w:tcPr>
            <w:tcW w:type="dxa" w:w="1134"/>
          </w:tcPr>
          <w:p>
            <w:r/>
            <w:r>
              <w:rPr>
                <w:sz w:val="16"/>
              </w:rPr>
              <w:t>Fed FSR Nov 2025</w:t>
            </w:r>
          </w:p>
        </w:tc>
      </w:tr>
      <w:tr>
        <w:tc>
          <w:tcPr>
            <w:tcW w:type="dxa" w:w="1304"/>
          </w:tcPr>
          <w:p>
            <w:r/>
            <w:r>
              <w:rPr>
                <w:sz w:val="16"/>
              </w:rPr>
              <w:t>Real Estate (Comm.)</w:t>
            </w:r>
          </w:p>
        </w:tc>
        <w:tc>
          <w:tcPr>
            <w:tcW w:type="dxa" w:w="1644"/>
          </w:tcPr>
          <w:p>
            <w:r/>
            <w:r>
              <w:rPr>
                <w:sz w:val="16"/>
              </w:rPr>
              <w:t>CRE price growth</w:t>
              <w:br/>
              <w:t>(y/y, real)</w:t>
            </w:r>
          </w:p>
        </w:tc>
        <w:tc>
          <w:tcPr>
            <w:tcW w:type="dxa" w:w="680"/>
          </w:tcPr>
          <w:p>
            <w:r/>
            <w:r>
              <w:rPr>
                <w:sz w:val="16"/>
              </w:rPr>
              <w:t>US</w:t>
            </w:r>
          </w:p>
        </w:tc>
        <w:tc>
          <w:tcPr>
            <w:tcW w:type="dxa" w:w="1531"/>
          </w:tcPr>
          <w:p>
            <w:r/>
            <w:r>
              <w:rPr>
                <w:sz w:val="16"/>
              </w:rPr>
              <w:t>–5.6% y/y</w:t>
            </w:r>
          </w:p>
        </w:tc>
        <w:tc>
          <w:tcPr>
            <w:tcW w:type="dxa" w:w="1757"/>
          </w:tcPr>
          <w:p>
            <w:r/>
            <w:r>
              <w:rPr>
                <w:sz w:val="16"/>
              </w:rPr>
              <w:t>Negative; well below</w:t>
              <w:br/>
              <w:t>avg. (5.4%)</w:t>
            </w:r>
          </w:p>
        </w:tc>
        <w:tc>
          <w:tcPr>
            <w:tcW w:type="dxa" w:w="1134"/>
          </w:tcPr>
          <w:p>
            <w:r/>
            <w:r>
              <w:rPr>
                <w:sz w:val="16"/>
              </w:rPr>
              <w:t>Fed FSR Nov 2025</w:t>
            </w:r>
          </w:p>
        </w:tc>
      </w:tr>
      <w:tr>
        <w:tc>
          <w:tcPr>
            <w:tcW w:type="dxa" w:w="1304"/>
          </w:tcPr>
          <w:p>
            <w:r/>
            <w:r>
              <w:rPr>
                <w:sz w:val="16"/>
              </w:rPr>
              <w:t>Real Estate</w:t>
            </w:r>
          </w:p>
        </w:tc>
        <w:tc>
          <w:tcPr>
            <w:tcW w:type="dxa" w:w="1644"/>
          </w:tcPr>
          <w:p>
            <w:r/>
            <w:r>
              <w:rPr>
                <w:sz w:val="16"/>
              </w:rPr>
              <w:t>House price-to-income</w:t>
              <w:br/>
              <w:t>/ rent ratios</w:t>
            </w:r>
          </w:p>
        </w:tc>
        <w:tc>
          <w:tcPr>
            <w:tcW w:type="dxa" w:w="680"/>
          </w:tcPr>
          <w:p>
            <w:r/>
            <w:r>
              <w:rPr>
                <w:sz w:val="16"/>
              </w:rPr>
              <w:t>EA</w:t>
            </w:r>
          </w:p>
        </w:tc>
        <w:tc>
          <w:tcPr>
            <w:tcW w:type="dxa" w:w="1531"/>
          </w:tcPr>
          <w:p>
            <w:r/>
            <w:r>
              <w:rPr>
                <w:sz w:val="16"/>
              </w:rPr>
              <w:t>Recovering</w:t>
            </w:r>
          </w:p>
        </w:tc>
        <w:tc>
          <w:tcPr>
            <w:tcW w:type="dxa" w:w="1757"/>
          </w:tcPr>
          <w:p>
            <w:r/>
            <w:r>
              <w:rPr>
                <w:sz w:val="16"/>
              </w:rPr>
              <w:t>Recovering; headwinds</w:t>
            </w:r>
          </w:p>
        </w:tc>
        <w:tc>
          <w:tcPr>
            <w:tcW w:type="dxa" w:w="1134"/>
          </w:tcPr>
          <w:p>
            <w:r/>
            <w:r>
              <w:rPr>
                <w:sz w:val="16"/>
              </w:rPr>
              <w:t>ECB FSR May 2025</w:t>
            </w:r>
          </w:p>
        </w:tc>
      </w:tr>
      <w:tr>
        <w:tc>
          <w:tcPr>
            <w:tcW w:type="dxa" w:w="1304"/>
          </w:tcPr>
          <w:p>
            <w:r/>
            <w:r>
              <w:rPr>
                <w:sz w:val="16"/>
              </w:rPr>
              <w:t>Safe Havens</w:t>
            </w:r>
          </w:p>
        </w:tc>
        <w:tc>
          <w:tcPr>
            <w:tcW w:type="dxa" w:w="1644"/>
          </w:tcPr>
          <w:p>
            <w:r/>
            <w:r>
              <w:rPr>
                <w:sz w:val="16"/>
              </w:rPr>
              <w:t>Gold price</w:t>
            </w:r>
          </w:p>
        </w:tc>
        <w:tc>
          <w:tcPr>
            <w:tcW w:type="dxa" w:w="680"/>
          </w:tcPr>
          <w:p>
            <w:r/>
            <w:r>
              <w:rPr>
                <w:sz w:val="16"/>
              </w:rPr>
              <w:t>Global</w:t>
            </w:r>
          </w:p>
        </w:tc>
        <w:tc>
          <w:tcPr>
            <w:tcW w:type="dxa" w:w="1531"/>
          </w:tcPr>
          <w:p>
            <w:r/>
            <w:r>
              <w:rPr>
                <w:sz w:val="16"/>
              </w:rPr>
              <w:t>Record highs</w:t>
            </w:r>
          </w:p>
        </w:tc>
        <w:tc>
          <w:tcPr>
            <w:tcW w:type="dxa" w:w="1757"/>
          </w:tcPr>
          <w:p>
            <w:r/>
            <w:r>
              <w:rPr>
                <w:sz w:val="16"/>
              </w:rPr>
              <w:t>Reflects elevated</w:t>
              <w:br/>
              <w:t>risk perceptions</w:t>
            </w:r>
          </w:p>
        </w:tc>
        <w:tc>
          <w:tcPr>
            <w:tcW w:type="dxa" w:w="1134"/>
          </w:tcPr>
          <w:p>
            <w:r/>
            <w:r>
              <w:rPr>
                <w:sz w:val="16"/>
              </w:rPr>
              <w:t>ECB FSR May 2025</w:t>
            </w:r>
          </w:p>
        </w:tc>
      </w:tr>
    </w:tbl>
    <w:p>
      <w:pPr>
        <w:spacing w:before="80"/>
      </w:pPr>
      <w:r>
        <w:rPr>
          <w:b/>
          <w:sz w:val="16"/>
        </w:rPr>
        <w:t xml:space="preserve">Note: </w:t>
      </w:r>
      <w:r>
        <w:rPr>
          <w:i/>
          <w:sz w:val="16"/>
        </w:rPr>
        <w:t>EA = euro area. "pp" = percentage points. Historical positions as characterised in source FSRs. Data as of late Oct / mid-Nov 2025.</w:t>
      </w:r>
    </w:p>
    <w:p>
      <w:r>
        <w:rPr>
          <w:i/>
          <w:sz w:val="16"/>
        </w:rPr>
        <w:t>Sources: ECB Financial Stability Review, May 2025 and November 2025; Federal Reserve Financial Stability Report, November 2025.</w:t>
      </w:r>
    </w:p>
    <w:p>
      <w:pPr>
        <w:pStyle w:val="Heading2"/>
      </w:pPr>
      <w:r>
        <w:t>3. Detailed Analysis by Asset Class</w:t>
      </w:r>
    </w:p>
    <w:p>
      <w:pPr>
        <w:pStyle w:val="Heading3"/>
      </w:pPr>
      <w:r>
        <w:t>3.1 Equity Markets</w:t>
      </w:r>
    </w:p>
    <w:p>
      <w:r>
        <w:t>Euro area equity markets recovered all April losses by mid-May 2025, aided by the tariff pause and fund flow rotation from US to European equities (ECB FSR, May 2025). Yet the ECB has consistently flagged euro area equity valuations as "stretched," with high valuations and increasing risk concentration rendering markets "vulnerable to shocks" (ECB FSR, May 2025, Overview). These levels are underpinned by expectations of further monetary easing and fiscal expansion that remain highly uncertain.</w:t>
      </w:r>
    </w:p>
    <w:p>
      <w:r>
        <w:t xml:space="preserve">In the United States, overvaluation is more pronounced. The S&amp;P 500 forward P/E remained </w:t>
      </w:r>
      <w:r>
        <w:rPr>
          <w:i/>
        </w:rPr>
        <w:t>close to the upper end of its historical range</w:t>
      </w:r>
      <w:r>
        <w:t xml:space="preserve"> (Fed FSR, November 2025, Figure 1.4), and the equity risk premium stood </w:t>
      </w:r>
      <w:r>
        <w:rPr>
          <w:i/>
        </w:rPr>
        <w:t>near a 20-year low</w:t>
      </w:r>
      <w:r>
        <w:t xml:space="preserve"> (Figure 1.5). Both option-implied and realised volatility declined below their historical medians—a configuration that can underprice tail risks and invite leveraged positioning that amplifies sell-offs.</w:t>
      </w:r>
    </w:p>
    <w:p>
      <w:pPr>
        <w:pStyle w:val="Heading3"/>
      </w:pPr>
      <w:r>
        <w:t>3.2 Corporate Credit Markets</w:t>
      </w:r>
    </w:p>
    <w:p>
      <w:r>
        <w:t>Corporate credit displays a striking divergence between compressed risk premia and deteriorating fundamentals. In the United States, triple-B spreads stand ~0.7 percentage points below their historical median, high-yield spreads ~1.6 pp below theirs (Fed FSR, November 2025, Figure 1.8), the excess bond premium is below its long-run average (Figure 1.9), and leveraged loan spreads remain at the low end of their distribution since 2009 (Figure 1.10).</w:t>
      </w:r>
    </w:p>
    <w:p>
      <w:r>
        <w:t>These tight spreads coexist with elevated euro area corporate vulnerabilities. The ECB FSR of November 2025 reports that corporate vulnerabilities "remain elevated," especially for tariff-exposed manufacturing firms (Chart 1.6). The corporate vulnerability index remains in positive territory through 2028, Altman Z-scores show manufacturing with the weakest balance sheets, and bankruptcies have been rising (Chart 1.5). Risk premia have not repriced to reflect this deterioration—creating vulnerability to a sharp correction.</w:t>
      </w:r>
    </w:p>
    <w:p>
      <w:pPr>
        <w:pStyle w:val="Heading3"/>
      </w:pPr>
      <w:r>
        <w:t>3.3 Sovereign Bond Markets</w:t>
      </w:r>
    </w:p>
    <w:p>
      <w:r>
        <w:t>The distribution of euro area sovereign spreads has widened over 2025. The ECB FSR of November 2025 notes that "higher issuance and funding costs could strain weak sovereigns, with fiscal slippage or external fiscal stress potentially leading to renewed sovereign fragmentation" (Overview, Chart 3). Several countries have seen rating revisions since November 2024. Rising interest costs and increased defence spending—the national escape clause activated for 11 euro area countries—complicate fiscal consolidation (ECB FSR, May 2025). In the United States, the Treasury term premium sits near its historical median (Fed FSR, November 2025).</w:t>
      </w:r>
    </w:p>
    <w:p>
      <w:pPr>
        <w:pStyle w:val="Heading3"/>
      </w:pPr>
      <w:r>
        <w:t>3.4 Real Estate Markets</w:t>
      </w:r>
    </w:p>
    <w:p>
      <w:r>
        <w:t>Euro area residential real estate has been recovering, though the ECB FSR of May 2025 cautioned of "headwinds from elevated uncertainty." US house prices grew a modest 0.3–1.7% year-on-year (real) through July 2025, well below the 6.2% long-run average. US CRE prices declined 5.6% year-on-year in real terms, reflecting higher financing costs and structural demand shifts. While not the most stretched segment, CRE weakness could amplify credit losses for exposed lenders.</w:t>
      </w:r>
    </w:p>
    <w:p>
      <w:pPr>
        <w:pStyle w:val="Heading3"/>
      </w:pPr>
      <w:r>
        <w:t>3.5 Gold and Safe-Haven Demand</w:t>
      </w:r>
    </w:p>
    <w:p>
      <w:r>
        <w:t>Gold prices reached record levels, which the ECB FSR of May 2025 interprets as signalling elevated risk perceptions (Box 2). The simultaneous rally in gold and risk assets suggests investors are hedging tail risks from geoeconomic fragmentation while maintaining exposure to risky assets.</w:t>
      </w:r>
    </w:p>
    <w:p>
      <w:pPr>
        <w:pStyle w:val="Heading2"/>
      </w:pPr>
      <w:r>
        <w:t>4. The Most Stretched Asset Classes</w:t>
      </w:r>
    </w:p>
    <w:p>
      <w:pPr>
        <w:pStyle w:val="Heading3"/>
      </w:pPr>
      <w:r>
        <w:t>4.1 Euro Area: Equities and Corporate Credit</w:t>
      </w:r>
    </w:p>
    <w:p>
      <w:r>
        <w:t xml:space="preserve">The two most stretched asset classes in the euro area are </w:t>
      </w:r>
      <w:r>
        <w:rPr>
          <w:b/>
        </w:rPr>
        <w:t>public equities</w:t>
      </w:r>
      <w:r>
        <w:t xml:space="preserve"> and </w:t>
      </w:r>
      <w:r>
        <w:rPr>
          <w:b/>
        </w:rPr>
        <w:t>corporate credit, particularly high-yield</w:t>
      </w:r>
      <w:r>
        <w:t>. Equity markets have rebounded to levels the ECB characterises as "stretched," supported by expectations of fiscal expansion and monetary easing that are far from assured. The ECB explicitly warns that high valuations and increasing risk concentration "render equity and credit markets vulnerable to shocks, which could be amplified by non-bank liquidity fragilities" (ECB FSR, May 2025, Chart 3). Corporate credit is the second-most stretched class: the ECB FSR of May 2025 links high-yield issuance and tight spreads with elevated global policy uncertainty (Chart 3, panel a), and the November 2025 edition confirms that elevated corporate vulnerabilities coexist with increasingly favourable financing conditions—implying credit risk is significantly underpriced.</w:t>
      </w:r>
    </w:p>
    <w:p>
      <w:pPr>
        <w:pStyle w:val="Heading3"/>
      </w:pPr>
      <w:r>
        <w:t>4.2 United States: Equities and Corporate Bonds</w:t>
      </w:r>
    </w:p>
    <w:p>
      <w:r>
        <w:t xml:space="preserve">For the United States, the two most stretched classes are </w:t>
      </w:r>
      <w:r>
        <w:rPr>
          <w:b/>
        </w:rPr>
        <w:t>equities</w:t>
      </w:r>
      <w:r>
        <w:t xml:space="preserve"> and </w:t>
      </w:r>
      <w:r>
        <w:rPr>
          <w:b/>
        </w:rPr>
        <w:t>corporate bonds</w:t>
      </w:r>
      <w:r>
        <w:t>. The S&amp;P 500 forward P/E stands at approximately the 90th percentile and the equity risk premium at a 20-year low (Fed FSR, November 2025). Corporate bond spreads are historically tight: IG ~0.7 pp and HY ~1.6 pp below respective medians. This combination of extreme equity valuations and compressed credit spreads, against elevated policy uncertainty and persistent inflation risks, represents a rare degree of simultaneous overvaluation across the two largest risky asset classes.</w:t>
      </w:r>
    </w:p>
    <w:p>
      <w:pPr>
        <w:pStyle w:val="Heading2"/>
      </w:pPr>
      <w:r>
        <w:t>5. Triggers for a Sharp Repricing of Risk</w:t>
      </w:r>
    </w:p>
    <w:p>
      <w:r>
        <w:rPr>
          <w:b/>
        </w:rPr>
        <w:t xml:space="preserve">Trade policy escalation. </w:t>
      </w:r>
      <w:r>
        <w:t>The US effective tariff rate increased sharply in 2025, and trade policy uncertainty remains well above its 2015–24 average (ECB FSR, November 2025, Chart 1.1). Further tariff extensions would hit corporate earnings in sectors accounting for a significant share of euro area employment, value added, and bank credit (Chart 4).</w:t>
      </w:r>
    </w:p>
    <w:p>
      <w:r>
        <w:rPr>
          <w:b/>
        </w:rPr>
        <w:t xml:space="preserve">Fiscal sustainability concerns. </w:t>
      </w:r>
      <w:r>
        <w:t>High-debt euro area countries face substantial near-term refinancing needs compounded by rising defence spending (ECB FSR, November 2025, Chart 3). A sovereign risk reassessment could reignite the sovereign-bank nexus, tightening credit supply and amplifying downturns.</w:t>
      </w:r>
    </w:p>
    <w:p>
      <w:r>
        <w:rPr>
          <w:b/>
        </w:rPr>
        <w:t xml:space="preserve">Inflation persistence and monetary repricing. </w:t>
      </w:r>
      <w:r>
        <w:t>While euro area inflation has moderated (ECB FSR, November 2025, Chart 1.1), persistent inflation—cited as a key risk in the Fed's Survey of Salient Risks (Fed FSR, November 2025)—could force central banks to stay restrictive longer than discounted, directly compressing equity valuations.</w:t>
      </w:r>
    </w:p>
    <w:p>
      <w:r>
        <w:rPr>
          <w:b/>
        </w:rPr>
        <w:t xml:space="preserve">NBFI amplification. </w:t>
      </w:r>
      <w:r>
        <w:t>Rising financial and synthetic leverage in euro area investment funds (ECB FSR, May 2025, Chart 3, panel c) and liquidity mismatches where funds offer daily redemptions against illiquid assets could transform a manageable repricing into a systemic fire sale. Growing funding ties between banks and non-banks (ECB FSR, November 2025, Chart 5, panel c) create spillback channels.</w:t>
      </w:r>
    </w:p>
    <w:p>
      <w:r>
        <w:rPr>
          <w:b/>
        </w:rPr>
        <w:t xml:space="preserve">Corporate–household–sovereign feedback loop. </w:t>
      </w:r>
      <w:r>
        <w:t>As tariff effects take hold, manufacturing layoffs could weaken household debt-servicing capacity (ECB FSR, November 2025, Chart 4). Reduced consumption would depress corporate revenues and raise bankruptcies; falling tax receipts and rising social transfers would then strain sovereigns, potentially triggering the sovereign-bank nexus. This multi-channel loop underscores why stretched valuations embedding benign assumptions are particularly vulnerable.</w:t>
      </w:r>
    </w:p>
    <w:p>
      <w:pPr>
        <w:pStyle w:val="Heading2"/>
      </w:pPr>
      <w:r>
        <w:t>6. Conclusion and Vulnerability Rating</w:t>
      </w:r>
    </w:p>
    <w:p>
      <w:r>
        <w:t xml:space="preserve">The overall vulnerability rating for euro area asset valuations is </w:t>
      </w:r>
      <w:r>
        <w:rPr>
          <w:b/>
          <w:color w:val="B4321E"/>
        </w:rPr>
        <w:t>ELEVATED</w:t>
      </w:r>
      <w:r>
        <w:t>. This assessment rests on five pillars:</w:t>
      </w:r>
    </w:p>
    <w:p>
      <w:pPr>
        <w:pStyle w:val="ListBullet"/>
      </w:pPr>
      <w:r>
        <w:rPr>
          <w:sz w:val="21"/>
        </w:rPr>
        <w:t>Equity valuations are stretched on both sides of the Atlantic: the S&amp;P 500 forward P/E is at the upper end of its historical range and the equity risk premium at a 20-year low (Fed FSR, November 2025); euro area equities are flagged by the ECB as a source of vulnerability (ECB FSR, May 2025).</w:t>
      </w:r>
    </w:p>
    <w:p>
      <w:pPr>
        <w:pStyle w:val="ListBullet"/>
      </w:pPr>
      <w:r>
        <w:rPr>
          <w:sz w:val="21"/>
        </w:rPr>
        <w:t>Corporate credit spreads are historically compressed—US IG and HY ~0.7 and ~1.6 pp below medians; excess bond premium below its long-run average (Fed FSR, November 2025)—while euro area corporate vulnerabilities remain elevated, especially in tariff-exposed manufacturing (ECB FSR, November 2025).</w:t>
      </w:r>
    </w:p>
    <w:p>
      <w:pPr>
        <w:pStyle w:val="ListBullet"/>
      </w:pPr>
      <w:r>
        <w:rPr>
          <w:sz w:val="21"/>
        </w:rPr>
        <w:t>Euro area sovereign spreads are widening for high-debt countries, and fiscal sustainability concerns compounded by defence spending could trigger fragmentation dynamics (ECB FSR, November 2025).</w:t>
      </w:r>
    </w:p>
    <w:p>
      <w:pPr>
        <w:pStyle w:val="ListBullet"/>
      </w:pPr>
      <w:r>
        <w:rPr>
          <w:sz w:val="21"/>
        </w:rPr>
        <w:t>The macro environment features unusually high uncertainty across trade, fiscal, and geopolitical dimensions, yet risk premia are priced for benign outcomes—the gap between uncertainty and risk compensation is itself a vulnerability.</w:t>
      </w:r>
    </w:p>
    <w:p>
      <w:pPr>
        <w:pStyle w:val="ListBullet"/>
      </w:pPr>
      <w:r>
        <w:rPr>
          <w:sz w:val="21"/>
        </w:rPr>
        <w:t>Amplification channels—rising NBFI leverage, liquidity mismatches in investment funds, and the sovereign-bank nexus—increase the risk that a repricing event becomes systemic.</w:t>
      </w:r>
    </w:p>
    <w:p>
      <w:r>
        <w:t>The rating of "elevated" rather than "high" reflects that the most acute overvaluation is concentrated in US markets, that euro area banks maintain robust capital and liquidity buffers (ECB FSR, November 2025, Chart 5), and that the euro area economy has so far shown resilience to the initial tariff shock. Nonetheless, the combination of stretched valuations, compressed risk premia, elevated macro uncertainty, and potent amplification mechanisms warrants heightened vigilance. A sharp repricing—triggered by trade escalation, a fiscal event, or an inflation surprise—could have material consequences for euro area financial stability.</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