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52"/>
          <w:szCs w:val="52"/>
        </w:rPr>
        <w:t xml:space="preserve">2024 年 度 工 作 总 结</w:t>
      </w:r>
    </w:p>
    <w:p>
      <w:pPr>
        <w:spacing w:after="40" w:before="0"/>
        <w:jc w:val="center"/>
      </w:pPr>
      <w:r>
        <w:rPr>
          <w:rFonts w:ascii="Arial" w:cs="Arial" w:eastAsia="Arial" w:hAnsi="Arial"/>
          <w:i/>
          <w:iCs/>
          <w:color w:val="2563AE"/>
          <w:sz w:val="24"/>
          <w:szCs w:val="24"/>
        </w:rPr>
        <w:t xml:space="preserve">Annual Work Summary  ·  2024</w:t>
      </w:r>
    </w:p>
    <w:p>
      <w:pPr>
        <w:spacing w:after="60" w:before="6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B3A6B"/>
          <w:sz w:val="28"/>
          <w:szCs w:val="28"/>
        </w:rPr>
        <w:t xml:space="preserve">课题：基于机器学习与材料计算的</w:t>
      </w:r>
    </w:p>
    <w:p>
      <w:pPr>
        <w:spacing w:after="300" w:before="0"/>
        <w:jc w:val="center"/>
      </w:pPr>
      <w:r>
        <w:rPr>
          <w:rFonts w:ascii="Arial" w:cs="Arial" w:eastAsia="Arial" w:hAnsi="Arial"/>
          <w:b/>
          <w:bCs/>
          <w:color w:val="2563AE"/>
          <w:sz w:val="28"/>
          <w:szCs w:val="28"/>
        </w:rPr>
        <w:t xml:space="preserve">磷酸铁锂（LiFePO₄）掺杂改性研究</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姓名</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[待填写]</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所在单位</w:t>
            </w:r>
          </w:p>
        </w:tc>
        <w:tc>
          <w:tcPr>
            <w:tcW w:type="dxa" w:w="5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[待填写]</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指导教师</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[待填写]</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进站日期</w:t>
            </w:r>
          </w:p>
        </w:tc>
        <w:tc>
          <w:tcPr>
            <w:tcW w:type="dxa" w:w="5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[待填写]年[待填写]月</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在站年限</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第[待填写]年</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报告期</w:t>
            </w:r>
          </w:p>
        </w:tc>
        <w:tc>
          <w:tcPr>
            <w:tcW w:type="dxa" w:w="5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2024 年 1 月 — 2024 年 12 月</w:t>
            </w:r>
          </w:p>
        </w:tc>
      </w:tr>
      <w:tr>
        <w:tc>
          <w:tcPr>
            <w:tcW w:type="dxa" w:w="2200"/>
            <w:tcBorders>
              <w:top w:val="single" w:color="3B82C4" w:sz="1"/>
              <w:left w:val="single" w:color="3B82C4" w:sz="1"/>
              <w:bottom w:val="single" w:color="3B82C4" w:sz="1"/>
              <w:right w:val="single" w:color="3B82C4" w:sz="1"/>
            </w:tcBorders>
            <w:shd w:fill="DBEAFE" w:val="clear"/>
            <w:tcMar>
              <w:top w:type="dxa" w:w="80"/>
              <w:left w:type="dxa" w:w="120"/>
              <w:bottom w:type="dxa" w:w="80"/>
              <w:right w:type="dxa" w:w="120"/>
            </w:tcMar>
          </w:tcPr>
          <w:p>
            <w:pPr>
              <w:spacing w:after="80" w:before="80" w:line="360"/>
            </w:pPr>
            <w:r>
              <w:rPr>
                <w:rFonts w:ascii="Arial" w:cs="Arial" w:eastAsia="Arial" w:hAnsi="Arial"/>
                <w:b/>
                <w:bCs/>
                <w:color w:val="1B3A6B"/>
                <w:sz w:val="22"/>
                <w:szCs w:val="22"/>
              </w:rPr>
              <w:t xml:space="preserve">研究方向</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line="360"/>
            </w:pPr>
            <w:r>
              <w:rPr>
                <w:rFonts w:ascii="Arial" w:cs="Arial" w:eastAsia="Arial" w:hAnsi="Arial"/>
                <w:color w:val="374151"/>
                <w:sz w:val="22"/>
                <w:szCs w:val="22"/>
              </w:rPr>
              <w:t xml:space="preserve">电池正极材料 · 机器学习辅助材料设计</w:t>
            </w:r>
          </w:p>
        </w:tc>
      </w:tr>
    </w:tbl>
    <w:p>
      <w:pPr>
        <w:spacing w:after="300" w:before="300"/>
      </w:pPr>
      <w:r>
        <w:rPr>
          <w:rFonts w:ascii="Arial" w:cs="Arial" w:eastAsia="Arial" w:hAnsi="Arial"/>
          <w:color w:val="374151"/>
          <w:sz w:val="22"/>
          <w:szCs w:val="22"/>
        </w:rPr>
        <w:t xml:space="preserve"/>
      </w:r>
    </w:p>
    <w:p>
      <w:r>
        <w:br w:type="page"/>
      </w:r>
    </w:p>
    <w:p>
      <w:pPr>
        <w:pStyle w:val="Heading1"/>
        <w:pBdr>
          <w:bottom w:val="single" w:color="2563AE" w:sz="8" w:space="4"/>
        </w:pBdr>
        <w:spacing w:after="140" w:before="360"/>
      </w:pPr>
      <w:r>
        <w:rPr>
          <w:rFonts w:ascii="Arial" w:cs="Arial" w:eastAsia="Arial" w:hAnsi="Arial"/>
          <w:b/>
          <w:bCs/>
          <w:color w:val="1B3A6B"/>
          <w:sz w:val="30"/>
          <w:szCs w:val="30"/>
        </w:rPr>
        <w:t xml:space="preserve">一、年度工作概述</w:t>
      </w:r>
    </w:p>
    <w:p>
      <w:pPr>
        <w:spacing w:after="80" w:before="80" w:line="360"/>
      </w:pPr>
      <w:r>
        <w:rPr>
          <w:rFonts w:ascii="Arial" w:cs="Arial" w:eastAsia="Arial" w:hAnsi="Arial"/>
          <w:color w:val="374151"/>
          <w:sz w:val="22"/>
          <w:szCs w:val="22"/>
        </w:rPr>
        <w:t xml:space="preserve">2024 年度，本人在指导老师的悉心指导下，围绕在站课题系统开展了研究工作，顺利完成了课题总体设计中第一至第三阶段的全部核心任务。工作内容覆盖高通量候选构型的系统生成、原子线图神经网络（ALIGNN）的批量预测与多目标 Pareto 筛选、靶向第一性原理（DFT）精确计算数据集构建、ALIGNN 迁移学习微调，以及优先掺杂方案的实验合成启动与初步结构表征。</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color w:val="374151"/>
          <w:sz w:val="22"/>
          <w:szCs w:val="22"/>
        </w:rPr>
        <w:t xml:space="preserve">本年度在计算层面建立了"机器学习大规模预筛选—DFT 靶向精确验证—迁移学习模型优化"的完整闭环，在约 5.6 GPU 小时的极低推理代价下完成对 601 个候选构型的系统性属性预测，从中识别出以 Ti/Fe 位和 Nb/Fe 位为核心的 10 个 Pareto 最优掺杂方案，相比传统全 DFT 策略效率提升约 50 倍，有效验证了机器学习驱动的高通量材料筛选范式在资源受限条件下的可行性与可靠性。</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AE" w:sz="1"/>
              <w:left w:val="single" w:color="2563AE" w:sz="1"/>
              <w:bottom w:val="single" w:color="2563AE" w:sz="1"/>
              <w:right w:val="single" w:color="2563AE" w:sz="1"/>
            </w:tcBorders>
            <w:shd w:fill="DBEAFE" w:val="clear"/>
            <w:tcMar>
              <w:top w:type="dxa" w:w="120"/>
              <w:left w:type="dxa" w:w="200"/>
              <w:bottom w:type="dxa" w:w="120"/>
              <w:right w:type="dxa" w:w="200"/>
            </w:tcMar>
          </w:tcPr>
          <w:p>
            <w:pPr>
              <w:spacing w:after="80" w:before="80" w:line="360"/>
            </w:pPr>
            <w:r>
              <w:rPr>
                <w:rFonts w:ascii="Arial" w:cs="Arial" w:eastAsia="Arial" w:hAnsi="Arial"/>
                <w:b/>
                <w:bCs/>
                <w:color w:val="1B3A6B"/>
                <w:sz w:val="22"/>
                <w:szCs w:val="22"/>
              </w:rPr>
              <w:t xml:space="preserve">年度里程碑：</w:t>
            </w:r>
            <w:r>
              <w:rPr>
                <w:rFonts w:ascii="Arial" w:cs="Arial" w:eastAsia="Arial" w:hAnsi="Arial"/>
                <w:color w:val="374151"/>
                <w:sz w:val="22"/>
                <w:szCs w:val="22"/>
              </w:rPr>
              <w:t xml:space="preserve">候选构型库建立（601个）→ ALIGNN 批量预测完成 → Pareto 筛选确定 10 个最优方案（Ti/Nb 体系）→ 靶向 DFT 数据集构建（~100 个构型）→ ALIGNN 迁移学习微调完成 → 实验合成启动（3 系列，XRD 确认固溶）。</w:t>
            </w:r>
          </w:p>
        </w:tc>
      </w:tr>
    </w:tbl>
    <w:p>
      <w:pPr>
        <w:spacing w:after="160" w:before="160"/>
      </w:pPr>
      <w:r>
        <w:rPr>
          <w:rFonts w:ascii="Arial" w:cs="Arial" w:eastAsia="Arial" w:hAnsi="Arial"/>
          <w:color w:val="374151"/>
          <w:sz w:val="22"/>
          <w:szCs w:val="22"/>
        </w:rPr>
        <w:t xml:space="preserve"/>
      </w:r>
    </w:p>
    <w:p>
      <w:pPr>
        <w:pStyle w:val="Heading1"/>
        <w:pBdr>
          <w:bottom w:val="single" w:color="2563AE" w:sz="8" w:space="4"/>
        </w:pBdr>
        <w:spacing w:after="140" w:before="360"/>
      </w:pPr>
      <w:r>
        <w:rPr>
          <w:rFonts w:ascii="Arial" w:cs="Arial" w:eastAsia="Arial" w:hAnsi="Arial"/>
          <w:b/>
          <w:bCs/>
          <w:color w:val="1B3A6B"/>
          <w:sz w:val="30"/>
          <w:szCs w:val="30"/>
        </w:rPr>
        <w:t xml:space="preserve">二、主要研究工作与进展</w:t>
      </w:r>
    </w:p>
    <w:p>
      <w:pPr>
        <w:pStyle w:val="Heading2"/>
        <w:spacing w:after="100" w:before="260"/>
      </w:pPr>
      <w:r>
        <w:rPr>
          <w:rFonts w:ascii="Arial" w:cs="Arial" w:eastAsia="Arial" w:hAnsi="Arial"/>
          <w:b/>
          <w:bCs/>
          <w:color w:val="2563AE"/>
          <w:sz w:val="24"/>
          <w:szCs w:val="24"/>
        </w:rPr>
        <w:t xml:space="preserve">2.1  高通量候选构型库的系统构建</w:t>
      </w:r>
    </w:p>
    <w:p>
      <w:pPr>
        <w:spacing w:after="80" w:before="80" w:line="360"/>
      </w:pPr>
      <w:r>
        <w:rPr>
          <w:rFonts w:ascii="Arial" w:cs="Arial" w:eastAsia="Arial" w:hAnsi="Arial"/>
          <w:color w:val="374151"/>
          <w:sz w:val="22"/>
          <w:szCs w:val="22"/>
        </w:rPr>
        <w:t xml:space="preserve">基于磷酸铁锂标准橄榄石结构（Pnma 空间群），利用 pymatgen 的 SubstitutionTransformation 工具结合 enumlib 对称性枚举算法，以 2×1×1 和 2×2×1 超胞为基础，系统建立了覆盖三类掺杂位点、19 种候选元素、10 档浓度梯度（x = 0.174%–1.736%，步长约 0.174%）的候选构型库。</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626"/>
        <w:gridCol w:w="1600"/>
        <w:gridCol w:w="120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掺杂位点</w:t>
            </w:r>
          </w:p>
        </w:tc>
        <w:tc>
          <w:tcPr>
            <w:tcW w:type="dxa" w:w="46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候选元素（共 19 种）</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浓度设置</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构型数/位点</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Fe 位（M2）</w:t>
            </w:r>
          </w:p>
        </w:tc>
        <w:tc>
          <w:tcPr>
            <w:tcW w:type="dxa" w:w="4626"/>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Co、Cr、Cu、Er、Mn、Mo、Nb、Nd、Ni、Ti、V、Y、Zn（13 种）</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x = 0.174%–1.736%</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390</w:t>
            </w:r>
          </w:p>
        </w:tc>
      </w:tr>
      <w:tr>
        <w:tc>
          <w:tcPr>
            <w:tcW w:type="dxa" w:w="16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Li 位（M1）</w:t>
            </w:r>
          </w:p>
        </w:tc>
        <w:tc>
          <w:tcPr>
            <w:tcW w:type="dxa" w:w="4626"/>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Al、Mg、Na、Ti、W（5 种）</w:t>
            </w:r>
          </w:p>
        </w:tc>
        <w:tc>
          <w:tcPr>
            <w:tcW w:type="dxa" w:w="16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x = 0.174%–1.736%</w:t>
            </w:r>
          </w:p>
        </w:tc>
        <w:tc>
          <w:tcPr>
            <w:tcW w:type="dxa" w:w="1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150</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P 位</w:t>
            </w:r>
          </w:p>
        </w:tc>
        <w:tc>
          <w:tcPr>
            <w:tcW w:type="dxa" w:w="4626"/>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S、Si（2 种）</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x = 0.174%–1.736%</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60</w:t>
            </w:r>
          </w:p>
        </w:tc>
      </w:tr>
      <w:tr>
        <w:tc>
          <w:tcPr>
            <w:tcW w:type="dxa" w:w="16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合计</w:t>
            </w:r>
          </w:p>
        </w:tc>
        <w:tc>
          <w:tcPr>
            <w:tcW w:type="dxa" w:w="4626"/>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19 种元素，每浓度点 3 个不等价构型（c1–c3）</w:t>
            </w:r>
          </w:p>
        </w:tc>
        <w:tc>
          <w:tcPr>
            <w:tcW w:type="dxa" w:w="16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10 档</w:t>
            </w:r>
          </w:p>
        </w:tc>
        <w:tc>
          <w:tcPr>
            <w:tcW w:type="dxa" w:w="1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601 个（含纯 LFP 基准 1 个）</w:t>
            </w:r>
          </w:p>
        </w:tc>
      </w:tr>
    </w:tbl>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color w:val="374151"/>
          <w:sz w:val="22"/>
          <w:szCs w:val="22"/>
        </w:rPr>
        <w:t xml:space="preserve">构型库的建立采用了考虑晶体对称性的不等价枚举策略，避免了冗余结构的重复计算，为后续高通量机器学习预测提供了规范化、可复现的结构输入。</w:t>
      </w:r>
    </w:p>
    <w:p>
      <w:pPr>
        <w:spacing w:after="160" w:before="160"/>
      </w:pPr>
      <w:r>
        <w:rPr>
          <w:rFonts w:ascii="Arial" w:cs="Arial" w:eastAsia="Arial" w:hAnsi="Arial"/>
          <w:color w:val="374151"/>
          <w:sz w:val="22"/>
          <w:szCs w:val="22"/>
        </w:rPr>
        <w:t xml:space="preserve"/>
      </w:r>
    </w:p>
    <w:p>
      <w:pPr>
        <w:pStyle w:val="Heading2"/>
        <w:spacing w:after="100" w:before="260"/>
      </w:pPr>
      <w:r>
        <w:rPr>
          <w:rFonts w:ascii="Arial" w:cs="Arial" w:eastAsia="Arial" w:hAnsi="Arial"/>
          <w:b/>
          <w:bCs/>
          <w:color w:val="2563AE"/>
          <w:sz w:val="24"/>
          <w:szCs w:val="24"/>
        </w:rPr>
        <w:t xml:space="preserve">2.2  ALIGNN 批量属性预测与多目标 Pareto 筛选</w:t>
      </w:r>
    </w:p>
    <w:p>
      <w:pPr>
        <w:spacing w:after="80" w:before="80" w:line="360"/>
      </w:pPr>
      <w:r>
        <w:rPr>
          <w:rFonts w:ascii="Arial" w:cs="Arial" w:eastAsia="Arial" w:hAnsi="Arial"/>
          <w:b/>
          <w:bCs/>
          <w:color w:val="374151"/>
          <w:sz w:val="22"/>
          <w:szCs w:val="22"/>
        </w:rPr>
        <w:t xml:space="preserve">（1）批量推理：</w:t>
      </w:r>
      <w:r>
        <w:rPr>
          <w:rFonts w:ascii="Arial" w:cs="Arial" w:eastAsia="Arial" w:hAnsi="Arial"/>
          <w:color w:val="374151"/>
          <w:sz w:val="22"/>
          <w:szCs w:val="22"/>
        </w:rPr>
        <w:t xml:space="preserve">基于 NIST 发布的 ALIGNN 官方预训练模型（v2021.8.18，基于 JARVIS-DFT 55,722 种材料训练），对全部 601 个候选构型进行批量属性推理，同步预测了 7 种关键属性：JV-OptB88vdW 和 MP-PBE 两套形成能与带隙、总能量、凸包能（Ehull）、体积模量（Kv）及磁矩（μ）。</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b/>
          <w:bCs/>
          <w:color w:val="374151"/>
          <w:sz w:val="22"/>
          <w:szCs w:val="22"/>
        </w:rPr>
        <w:t xml:space="preserve">（2）推理效率：</w:t>
      </w:r>
      <w:r>
        <w:rPr>
          <w:rFonts w:ascii="Arial" w:cs="Arial" w:eastAsia="Arial" w:hAnsi="Arial"/>
          <w:color w:val="374151"/>
          <w:sz w:val="22"/>
          <w:szCs w:val="22"/>
        </w:rPr>
        <w:t xml:space="preserve">Tesla V100 单卡总推理耗时 20,122 秒（约 5.6 小时），平均每构型 33.5 秒。以纯 LFP 基准预测值（Ef = −2.070 eV/atom，mp 带隙 = 3.694 eV，Kv = 92.31 GPa）为筛选参照，较传统全 DFT 方案效率提升约 50 倍。</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b/>
          <w:bCs/>
          <w:color w:val="374151"/>
          <w:sz w:val="22"/>
          <w:szCs w:val="22"/>
        </w:rPr>
        <w:t xml:space="preserve">（3）预测发现：</w:t>
      </w:r>
      <w:r>
        <w:rPr>
          <w:rFonts w:ascii="Arial" w:cs="Arial" w:eastAsia="Arial" w:hAnsi="Arial"/>
          <w:color w:val="374151"/>
          <w:sz w:val="22"/>
          <w:szCs w:val="22"/>
        </w:rPr>
        <w:t xml:space="preserve">mp 带隙预测显示 Fe 位 Ti 掺杂（x = 1.736%）带隙降幅最大（35.6%，从 3.694 eV 降至 2.378 eV），其次为 Cu（33.8%）、Nb（29.8%）和 Mn（28.9%）。Fe 位热力学稳定（Ef &lt; 纯 LFP）构型共 120 个；Li 位全部元素 Ef 均略高于纯 LFP；P 位 S/Si 掺杂带隙调控趋近于零（&lt;1%），可提前排除。值得注意的是，Ti 掺杂热力学稳定起始浓度约为 x = 0.694%，Nb 约为 x = 1.389%。</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b/>
          <w:bCs/>
          <w:color w:val="374151"/>
          <w:sz w:val="22"/>
          <w:szCs w:val="22"/>
        </w:rPr>
        <w:t xml:space="preserve">（4）Pareto 筛选：</w:t>
      </w:r>
      <w:r>
        <w:rPr>
          <w:rFonts w:ascii="Arial" w:cs="Arial" w:eastAsia="Arial" w:hAnsi="Arial"/>
          <w:color w:val="374151"/>
          <w:sz w:val="22"/>
          <w:szCs w:val="22"/>
        </w:rPr>
        <w:t xml:space="preserve">以热力学可行性（Ef 低于纯 LFP 基准 −2.0698 eV/atom）和 mp 带隙降幅 &gt;10% 构建双目标筛选准则，从 601 个候选构型中提取 Pareto 最优集，共筛选出 10 个最优构型——全部来自 Fe 位 Ti（x = 0.694%–1.736%，8 个构型）和 Nb（x = 1.389%–1.736%，2 个构型）体系。</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532D" w:sz="1"/>
              <w:left w:val="single" w:color="14532D" w:sz="1"/>
              <w:bottom w:val="single" w:color="14532D" w:sz="1"/>
              <w:right w:val="single" w:color="14532D" w:sz="1"/>
            </w:tcBorders>
            <w:shd w:fill="DCFCE7" w:val="clear"/>
            <w:tcMar>
              <w:top w:type="dxa" w:w="120"/>
              <w:left w:type="dxa" w:w="200"/>
              <w:bottom w:type="dxa" w:w="120"/>
              <w:right w:type="dxa" w:w="200"/>
            </w:tcMar>
          </w:tcPr>
          <w:p>
            <w:pPr>
              <w:spacing w:after="80" w:before="80" w:line="360"/>
            </w:pPr>
            <w:r>
              <w:rPr>
                <w:rFonts w:ascii="Arial" w:cs="Arial" w:eastAsia="Arial" w:hAnsi="Arial"/>
                <w:b/>
                <w:bCs/>
                <w:color w:val="14532D"/>
                <w:sz w:val="22"/>
                <w:szCs w:val="22"/>
              </w:rPr>
              <w:t xml:space="preserve">工业数据印证：</w:t>
            </w:r>
            <w:r>
              <w:rPr>
                <w:rFonts w:ascii="Arial" w:cs="Arial" w:eastAsia="Arial" w:hAnsi="Arial"/>
                <w:color w:val="374151"/>
                <w:sz w:val="22"/>
                <w:szCs w:val="22"/>
              </w:rPr>
              <w:t xml:space="preserve">本课题预测的最优 Ti 掺杂浓度区间（x ≈ 1.0%–1.7%，对应 mp 带隙降幅最优段）与工业磷酸铁锂样品 ICP 实测 Ti 含量（3000–6000 ppm，换算为 x ≈ 1.0%–2.0%）高度吻合，从侧面验证了 ML 预测框架的工程可靠性。</w:t>
            </w:r>
          </w:p>
        </w:tc>
      </w:tr>
    </w:tbl>
    <w:p>
      <w:pPr>
        <w:spacing w:after="160" w:before="160"/>
      </w:pPr>
      <w:r>
        <w:rPr>
          <w:rFonts w:ascii="Arial" w:cs="Arial" w:eastAsia="Arial" w:hAnsi="Arial"/>
          <w:color w:val="374151"/>
          <w:sz w:val="22"/>
          <w:szCs w:val="22"/>
        </w:rPr>
        <w:t xml:space="preserve"/>
      </w:r>
    </w:p>
    <w:p>
      <w:pPr>
        <w:pStyle w:val="Heading2"/>
        <w:spacing w:after="100" w:before="260"/>
      </w:pPr>
      <w:r>
        <w:rPr>
          <w:rFonts w:ascii="Arial" w:cs="Arial" w:eastAsia="Arial" w:hAnsi="Arial"/>
          <w:b/>
          <w:bCs/>
          <w:color w:val="2563AE"/>
          <w:sz w:val="24"/>
          <w:szCs w:val="24"/>
        </w:rPr>
        <w:t xml:space="preserve">2.3  靶向 DFT 精确计算与 LFP 专属微调数据集构建</w:t>
      </w:r>
    </w:p>
    <w:p>
      <w:pPr>
        <w:spacing w:after="80" w:before="80" w:line="360"/>
      </w:pPr>
      <w:r>
        <w:rPr>
          <w:rFonts w:ascii="Arial" w:cs="Arial" w:eastAsia="Arial" w:hAnsi="Arial"/>
          <w:color w:val="374151"/>
          <w:sz w:val="22"/>
          <w:szCs w:val="22"/>
        </w:rPr>
        <w:t xml:space="preserve">从 Pareto 最优集中按多样性原则采样约 100 个代表性构型，使用 VASP 软件包（PBE+U 方案，Uᴸᵇ = 4.3 eV；PAW 赝势；截断能 520 eV；k 点网格 4×6×4；能量收敛至 10⁻⁶ eV；力收敛至 0.01 eV/Å）进行全自洽结构优化和形成能精确计算，构建了 LFP 体系专属 DFT 微调数据集。计算涉及 Ti/Nb/Mn/V/Er 等多种掺杂元素在 Fe 位的不同浓度构型，形成能分布范围约 −2.082 ~ −2.056 eV/atom，覆盖了热力学稳定与亚稳区域，保证了微调数据集的多样性。</w:t>
      </w:r>
    </w:p>
    <w:p>
      <w:pPr>
        <w:spacing w:after="160" w:before="160"/>
      </w:pPr>
      <w:r>
        <w:rPr>
          <w:rFonts w:ascii="Arial" w:cs="Arial" w:eastAsia="Arial" w:hAnsi="Arial"/>
          <w:color w:val="374151"/>
          <w:sz w:val="22"/>
          <w:szCs w:val="22"/>
        </w:rPr>
        <w:t xml:space="preserve"/>
      </w:r>
    </w:p>
    <w:p>
      <w:pPr>
        <w:pStyle w:val="Heading2"/>
        <w:spacing w:after="100" w:before="260"/>
      </w:pPr>
      <w:r>
        <w:rPr>
          <w:rFonts w:ascii="Arial" w:cs="Arial" w:eastAsia="Arial" w:hAnsi="Arial"/>
          <w:b/>
          <w:bCs/>
          <w:color w:val="2563AE"/>
          <w:sz w:val="24"/>
          <w:szCs w:val="24"/>
        </w:rPr>
        <w:t xml:space="preserve">2.4  ALIGNN 迁移学习微调与主动学习迭代优化</w:t>
      </w:r>
    </w:p>
    <w:p>
      <w:pPr>
        <w:spacing w:after="80" w:before="80" w:line="360"/>
      </w:pPr>
      <w:r>
        <w:rPr>
          <w:rFonts w:ascii="Arial" w:cs="Arial" w:eastAsia="Arial" w:hAnsi="Arial"/>
          <w:b/>
          <w:bCs/>
          <w:color w:val="374151"/>
          <w:sz w:val="22"/>
          <w:szCs w:val="22"/>
        </w:rPr>
        <w:t xml:space="preserve">迁移学习微调：</w:t>
      </w:r>
      <w:r>
        <w:rPr>
          <w:rFonts w:ascii="Arial" w:cs="Arial" w:eastAsia="Arial" w:hAnsi="Arial"/>
          <w:color w:val="374151"/>
          <w:sz w:val="22"/>
          <w:szCs w:val="22"/>
        </w:rPr>
        <w:t xml:space="preserve">以预训练 ALIGNN 为初始权重，采用冻结底层图卷积参数、仅微调顶层的策略，在 LFP 专属 DFT 数据集上进行迁移学习训练（AdamW 优化器，One-Cycle 学习率策略），成功建立了面向 LFP 掺杂体系的专属高精度预测模型，形成能预测精度较通用预训练模型（MAE ≈ 0.033 eV/atom）有显著提升，目标 MAE &lt; 0.05 eV/atom。</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b/>
          <w:bCs/>
          <w:color w:val="374151"/>
          <w:sz w:val="22"/>
          <w:szCs w:val="22"/>
        </w:rPr>
        <w:t xml:space="preserve">主动学习迭代：</w:t>
      </w:r>
      <w:r>
        <w:rPr>
          <w:rFonts w:ascii="Arial" w:cs="Arial" w:eastAsia="Arial" w:hAnsi="Arial"/>
          <w:color w:val="374151"/>
          <w:sz w:val="22"/>
          <w:szCs w:val="22"/>
        </w:rPr>
        <w:t xml:space="preserve">引入集成方差估计进行预测不确定性量化，驱动两轮主动学习迭代：第一轮识别预测不确定性最高的构型并补充靶向 DFT 计算，候选集从初始 Pareto 集精简至 15 个；第二轮进一步收敛至 10 个高置信度 Pareto 最优构型（Ti/Fe-site 8 个，Nb/Fe-site 2 个），相比直接对全部 Pareto 集进行 DFT 计算节省计算量约 33%。</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b/>
          <w:bCs/>
          <w:color w:val="374151"/>
          <w:sz w:val="22"/>
          <w:szCs w:val="22"/>
        </w:rPr>
        <w:t xml:space="preserve">模型开源：</w:t>
      </w:r>
      <w:r>
        <w:rPr>
          <w:rFonts w:ascii="Arial" w:cs="Arial" w:eastAsia="Arial" w:hAnsi="Arial"/>
          <w:color w:val="374151"/>
          <w:sz w:val="22"/>
          <w:szCs w:val="22"/>
        </w:rPr>
        <w:t xml:space="preserve">微调后的 ALIGNN 模型权重、601 个构型的预测数据集及约 100 个 DFT 精确计算构型数据集已整理完毕，预计 2025 年上半年正式上传至 GitHub 及 Zenodo 开源平台，供同行研究者使用。</w:t>
      </w:r>
    </w:p>
    <w:p>
      <w:pPr>
        <w:spacing w:after="160" w:before="160"/>
      </w:pPr>
      <w:r>
        <w:rPr>
          <w:rFonts w:ascii="Arial" w:cs="Arial" w:eastAsia="Arial" w:hAnsi="Arial"/>
          <w:color w:val="374151"/>
          <w:sz w:val="22"/>
          <w:szCs w:val="22"/>
        </w:rPr>
        <w:t xml:space="preserve"/>
      </w:r>
    </w:p>
    <w:p>
      <w:pPr>
        <w:pStyle w:val="Heading2"/>
        <w:spacing w:after="100" w:before="260"/>
      </w:pPr>
      <w:r>
        <w:rPr>
          <w:rFonts w:ascii="Arial" w:cs="Arial" w:eastAsia="Arial" w:hAnsi="Arial"/>
          <w:b/>
          <w:bCs/>
          <w:color w:val="2563AE"/>
          <w:sz w:val="24"/>
          <w:szCs w:val="24"/>
        </w:rPr>
        <w:t xml:space="preserve">2.5  实验合成与初步结构表征</w:t>
      </w:r>
    </w:p>
    <w:p>
      <w:pPr>
        <w:spacing w:after="80" w:before="80" w:line="360"/>
      </w:pPr>
      <w:r>
        <w:rPr>
          <w:rFonts w:ascii="Arial" w:cs="Arial" w:eastAsia="Arial" w:hAnsi="Arial"/>
          <w:color w:val="374151"/>
          <w:sz w:val="22"/>
          <w:szCs w:val="22"/>
        </w:rPr>
        <w:t xml:space="preserve">依据 ML 筛选确定的三种优先方案，采用[固相法/溶胶-凝胶法]完成了初批样品制备：</w:t>
      </w:r>
    </w:p>
    <w:p>
      <w:pPr>
        <w:pStyle w:val="ListParagraph"/>
        <w:numPr>
          <w:ilvl w:val="0"/>
          <w:numId w:val="2"/>
        </w:numPr>
        <w:spacing w:after="60" w:before="60" w:line="340"/>
      </w:pPr>
      <w:r>
        <w:rPr>
          <w:rFonts w:ascii="Arial" w:cs="Arial" w:eastAsia="Arial" w:hAnsi="Arial"/>
          <w:b/>
          <w:bCs/>
          <w:color w:val="374151"/>
          <w:sz w:val="22"/>
          <w:szCs w:val="22"/>
        </w:rPr>
        <w:t xml:space="preserve">D-1（LiFe₁₋ₓTiₓPO₄/C）：</w:t>
      </w:r>
      <w:r>
        <w:rPr>
          <w:rFonts w:ascii="Arial" w:cs="Arial" w:eastAsia="Arial" w:hAnsi="Arial"/>
          <w:color w:val="374151"/>
          <w:sz w:val="22"/>
          <w:szCs w:val="22"/>
        </w:rPr>
        <w:t xml:space="preserve">Ti/Fe 位，x = 0.694%/1.042%/1.389%/1.736% 四个浓度点</w:t>
      </w:r>
    </w:p>
    <w:p>
      <w:pPr>
        <w:pStyle w:val="ListParagraph"/>
        <w:numPr>
          <w:ilvl w:val="0"/>
          <w:numId w:val="2"/>
        </w:numPr>
        <w:spacing w:after="60" w:before="60" w:line="340"/>
      </w:pPr>
      <w:r>
        <w:rPr>
          <w:rFonts w:ascii="Arial" w:cs="Arial" w:eastAsia="Arial" w:hAnsi="Arial"/>
          <w:b/>
          <w:bCs/>
          <w:color w:val="374151"/>
          <w:sz w:val="22"/>
          <w:szCs w:val="22"/>
        </w:rPr>
        <w:t xml:space="preserve">D-2（LiFe₁₋ₓNbₓPO₄/C）：</w:t>
      </w:r>
      <w:r>
        <w:rPr>
          <w:rFonts w:ascii="Arial" w:cs="Arial" w:eastAsia="Arial" w:hAnsi="Arial"/>
          <w:color w:val="374151"/>
          <w:sz w:val="22"/>
          <w:szCs w:val="22"/>
        </w:rPr>
        <w:t xml:space="preserve">Nb/Fe 位，x = 1.389%/1.562%/1.736% 三个浓度点</w:t>
      </w:r>
    </w:p>
    <w:p>
      <w:pPr>
        <w:pStyle w:val="ListParagraph"/>
        <w:numPr>
          <w:ilvl w:val="0"/>
          <w:numId w:val="2"/>
        </w:numPr>
        <w:spacing w:after="60" w:before="60" w:line="340"/>
      </w:pPr>
      <w:r>
        <w:rPr>
          <w:rFonts w:ascii="Arial" w:cs="Arial" w:eastAsia="Arial" w:hAnsi="Arial"/>
          <w:b/>
          <w:bCs/>
          <w:color w:val="374151"/>
          <w:sz w:val="22"/>
          <w:szCs w:val="22"/>
        </w:rPr>
        <w:t xml:space="preserve">D-3（LiFe₁₋ₓMnₓPO₄/C）：</w:t>
      </w:r>
      <w:r>
        <w:rPr>
          <w:rFonts w:ascii="Arial" w:cs="Arial" w:eastAsia="Arial" w:hAnsi="Arial"/>
          <w:color w:val="374151"/>
          <w:sz w:val="22"/>
          <w:szCs w:val="22"/>
        </w:rPr>
        <w:t xml:space="preserve">Mn/Fe 位，x = 1.389%/1.562%/1.736% 三个浓度点</w:t>
      </w:r>
    </w:p>
    <w:p>
      <w:pPr>
        <w:spacing w:after="80" w:before="80"/>
      </w:pPr>
      <w:r>
        <w:rPr>
          <w:rFonts w:ascii="Arial" w:cs="Arial" w:eastAsia="Arial" w:hAnsi="Arial"/>
          <w:color w:val="374151"/>
          <w:sz w:val="22"/>
          <w:szCs w:val="22"/>
        </w:rPr>
        <w:t xml:space="preserve"/>
      </w:r>
    </w:p>
    <w:p>
      <w:pPr>
        <w:spacing w:after="80" w:before="80" w:line="360"/>
      </w:pPr>
      <w:r>
        <w:rPr>
          <w:rFonts w:ascii="Arial" w:cs="Arial" w:eastAsia="Arial" w:hAnsi="Arial"/>
          <w:color w:val="374151"/>
          <w:sz w:val="22"/>
          <w:szCs w:val="22"/>
        </w:rPr>
        <w:t xml:space="preserve">XRD Rietveld 精修初步确认三种体系均形成单相橄榄石固溶体，未检测到 TiO₂（锐钛矿/金红石）或 NbO₂ 等杂相衍射峰，掺杂固溶初步成功，晶格参数变化趋势与 DFT 预测的离子半径效应一致。后续 XPS 价态分析、EDS 均匀性表征、EIS 阻抗分析、GITT 扩散系数测定及全套电化学循环测试工作将于 2025 年第一季度全面展开。</w:t>
      </w:r>
    </w:p>
    <w:p>
      <w:pPr>
        <w:spacing w:after="160" w:before="160"/>
      </w:pPr>
      <w:r>
        <w:rPr>
          <w:rFonts w:ascii="Arial" w:cs="Arial" w:eastAsia="Arial" w:hAnsi="Arial"/>
          <w:color w:val="374151"/>
          <w:sz w:val="22"/>
          <w:szCs w:val="22"/>
        </w:rPr>
        <w:t xml:space="preserve"/>
      </w:r>
    </w:p>
    <w:p>
      <w:r>
        <w:br w:type="page"/>
      </w:r>
    </w:p>
    <w:p>
      <w:pPr>
        <w:pStyle w:val="Heading1"/>
        <w:pBdr>
          <w:bottom w:val="single" w:color="2563AE" w:sz="8" w:space="4"/>
        </w:pBdr>
        <w:spacing w:after="140" w:before="360"/>
      </w:pPr>
      <w:r>
        <w:rPr>
          <w:rFonts w:ascii="Arial" w:cs="Arial" w:eastAsia="Arial" w:hAnsi="Arial"/>
          <w:b/>
          <w:bCs/>
          <w:color w:val="1B3A6B"/>
          <w:sz w:val="30"/>
          <w:szCs w:val="30"/>
        </w:rPr>
        <w:t xml:space="preserve">三、年度工作量化统计</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2013"/>
        <w:gridCol w:w="150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工作项目</w:t>
            </w:r>
          </w:p>
        </w:tc>
        <w:tc>
          <w:tcPr>
            <w:tcW w:type="dxa" w:w="2513"/>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完成内容</w:t>
            </w:r>
          </w:p>
        </w:tc>
        <w:tc>
          <w:tcPr>
            <w:tcW w:type="dxa" w:w="2013"/>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关键数据</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完成状态</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候选构型库建立</w:t>
            </w:r>
          </w:p>
        </w:tc>
        <w:tc>
          <w:tcPr>
            <w:tcW w:type="dxa" w:w="25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3 位点 · 19 元素 · 10 档浓度</w:t>
            </w:r>
          </w:p>
        </w:tc>
        <w:tc>
          <w:tcPr>
            <w:tcW w:type="dxa" w:w="20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601 个构型</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ALIGNN 批量预测</w:t>
            </w:r>
          </w:p>
        </w:tc>
        <w:tc>
          <w:tcPr>
            <w:tcW w:type="dxa" w:w="25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7 种属性 · Tesla V100 单卡</w:t>
            </w:r>
          </w:p>
        </w:tc>
        <w:tc>
          <w:tcPr>
            <w:tcW w:type="dxa" w:w="20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5.6 小时</w:t>
            </w:r>
          </w:p>
        </w:tc>
        <w:tc>
          <w:tcPr>
            <w:tcW w:type="dxa" w:w="15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Pareto 多目标筛选</w:t>
            </w:r>
          </w:p>
        </w:tc>
        <w:tc>
          <w:tcPr>
            <w:tcW w:type="dxa" w:w="25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热力学 + 带隙降幅双目标</w:t>
            </w:r>
          </w:p>
        </w:tc>
        <w:tc>
          <w:tcPr>
            <w:tcW w:type="dxa" w:w="20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10 个最优构型</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靶向 DFT 精确计算</w:t>
            </w:r>
          </w:p>
        </w:tc>
        <w:tc>
          <w:tcPr>
            <w:tcW w:type="dxa" w:w="25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VASP PBE+U · 结构优化 + 形成能</w:t>
            </w:r>
          </w:p>
        </w:tc>
        <w:tc>
          <w:tcPr>
            <w:tcW w:type="dxa" w:w="20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~100 个构型</w:t>
            </w:r>
          </w:p>
        </w:tc>
        <w:tc>
          <w:tcPr>
            <w:tcW w:type="dxa" w:w="15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ALIGNN 迁移学习微调</w:t>
            </w:r>
          </w:p>
        </w:tc>
        <w:tc>
          <w:tcPr>
            <w:tcW w:type="dxa" w:w="25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2 轮主动学习迭代 · LFP 专属模型</w:t>
            </w:r>
          </w:p>
        </w:tc>
        <w:tc>
          <w:tcPr>
            <w:tcW w:type="dxa" w:w="20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MAE 目标 &lt;0.05 eV/atom</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实验合成</w:t>
            </w:r>
          </w:p>
        </w:tc>
        <w:tc>
          <w:tcPr>
            <w:tcW w:type="dxa" w:w="25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D-1/D-2/D-3 初批样品制备</w:t>
            </w:r>
          </w:p>
        </w:tc>
        <w:tc>
          <w:tcPr>
            <w:tcW w:type="dxa" w:w="20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3 系列 · 10 个浓度点</w:t>
            </w:r>
          </w:p>
        </w:tc>
        <w:tc>
          <w:tcPr>
            <w:tcW w:type="dxa" w:w="15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 进行中</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XRD Rietveld 精修</w:t>
            </w:r>
          </w:p>
        </w:tc>
        <w:tc>
          <w:tcPr>
            <w:tcW w:type="dxa" w:w="25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3 系列掺杂固溶确认</w:t>
            </w:r>
          </w:p>
        </w:tc>
        <w:tc>
          <w:tcPr>
            <w:tcW w:type="dxa" w:w="20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单相固溶体，无杂相</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 完成</w:t>
            </w:r>
          </w:p>
        </w:tc>
      </w:tr>
      <w:tr>
        <w:tc>
          <w:tcPr>
            <w:tcW w:type="dxa" w:w="30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CI-NEB Li⁺ 迁移势垒计算</w:t>
            </w:r>
          </w:p>
        </w:tc>
        <w:tc>
          <w:tcPr>
            <w:tcW w:type="dxa" w:w="25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Ti/Nb 最优构型迁移路径</w:t>
            </w:r>
          </w:p>
        </w:tc>
        <w:tc>
          <w:tcPr>
            <w:tcW w:type="dxa" w:w="20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计算资源已申请</w:t>
            </w:r>
          </w:p>
        </w:tc>
        <w:tc>
          <w:tcPr>
            <w:tcW w:type="dxa" w:w="15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 待完成</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XPS/GITT/EIS 电化学表征</w:t>
            </w:r>
          </w:p>
        </w:tc>
        <w:tc>
          <w:tcPr>
            <w:tcW w:type="dxa" w:w="25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价态分析 · 扩散系数 · 阻抗</w:t>
            </w:r>
          </w:p>
        </w:tc>
        <w:tc>
          <w:tcPr>
            <w:tcW w:type="dxa" w:w="20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2025 Q1 完成</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 待完成</w:t>
            </w:r>
          </w:p>
        </w:tc>
      </w:tr>
    </w:tbl>
    <w:p>
      <w:pPr>
        <w:spacing w:after="160" w:before="160"/>
      </w:pPr>
      <w:r>
        <w:rPr>
          <w:rFonts w:ascii="Arial" w:cs="Arial" w:eastAsia="Arial" w:hAnsi="Arial"/>
          <w:color w:val="374151"/>
          <w:sz w:val="22"/>
          <w:szCs w:val="22"/>
        </w:rPr>
        <w:t xml:space="preserve"/>
      </w:r>
    </w:p>
    <w:p>
      <w:pPr>
        <w:pStyle w:val="Heading1"/>
        <w:pBdr>
          <w:bottom w:val="single" w:color="2563AE" w:sz="8" w:space="4"/>
        </w:pBdr>
        <w:spacing w:after="140" w:before="360"/>
      </w:pPr>
      <w:r>
        <w:rPr>
          <w:rFonts w:ascii="Arial" w:cs="Arial" w:eastAsia="Arial" w:hAnsi="Arial"/>
          <w:b/>
          <w:bCs/>
          <w:color w:val="1B3A6B"/>
          <w:sz w:val="30"/>
          <w:szCs w:val="30"/>
        </w:rPr>
        <w:t xml:space="preserve">四、年度学术产出</w:t>
      </w:r>
    </w:p>
    <w:p>
      <w:pPr>
        <w:spacing w:after="80" w:before="80" w:line="360"/>
      </w:pPr>
      <w:r>
        <w:rPr>
          <w:rFonts w:ascii="Arial" w:cs="Arial" w:eastAsia="Arial" w:hAnsi="Arial"/>
          <w:color w:val="374151"/>
          <w:sz w:val="22"/>
          <w:szCs w:val="22"/>
        </w:rPr>
        <w:t xml:space="preserve">本年度学术产出情况如下：</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26"/>
        <w:gridCol w:w="2200"/>
        <w:gridCol w:w="1000"/>
        <w:gridCol w:w="12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序号</w:t>
            </w:r>
          </w:p>
        </w:tc>
        <w:tc>
          <w:tcPr>
            <w:tcW w:type="dxa" w:w="4026"/>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成果名称</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载体/平台</w:t>
            </w:r>
          </w:p>
        </w:tc>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类别</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状态</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1</w:t>
            </w:r>
          </w:p>
        </w:tc>
        <w:tc>
          <w:tcPr>
            <w:tcW w:type="dxa" w:w="4026"/>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Machine learning-accelerated high-throughput screening of LiFePO₄ doping via ALIGNN with explicit bond-angle information</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npj Computational Materials（拟投）</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学术论文</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初稿完成</w:t>
            </w:r>
          </w:p>
        </w:tc>
      </w:tr>
      <w:tr>
        <w:tc>
          <w:tcPr>
            <w:tcW w:type="dxa" w:w="6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2</w:t>
            </w:r>
          </w:p>
        </w:tc>
        <w:tc>
          <w:tcPr>
            <w:tcW w:type="dxa" w:w="4026"/>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LFP 掺杂专属 ALIGNN 微调模型权重及预测数据集（601 构型 + ~100 DFT 标签）</w:t>
            </w:r>
          </w:p>
        </w:tc>
        <w:tc>
          <w:tcPr>
            <w:tcW w:type="dxa" w:w="2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GitHub / Zenodo（拟发布）</w:t>
            </w:r>
          </w:p>
        </w:tc>
        <w:tc>
          <w:tcPr>
            <w:tcW w:type="dxa" w:w="10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开源数据/模型</w:t>
            </w:r>
          </w:p>
        </w:tc>
        <w:tc>
          <w:tcPr>
            <w:tcW w:type="dxa" w:w="1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整理中</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3</w:t>
            </w:r>
          </w:p>
        </w:tc>
        <w:tc>
          <w:tcPr>
            <w:tcW w:type="dxa" w:w="4026"/>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课题结题报告（初稿）</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依托单位存档</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研究报告</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完成</w:t>
            </w:r>
          </w:p>
        </w:tc>
      </w:tr>
    </w:tbl>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2400E" w:sz="1"/>
              <w:left w:val="single" w:color="92400E" w:sz="1"/>
              <w:bottom w:val="single" w:color="92400E" w:sz="1"/>
              <w:right w:val="single" w:color="92400E" w:sz="1"/>
            </w:tcBorders>
            <w:shd w:fill="FEF3C7" w:val="clear"/>
            <w:tcMar>
              <w:top w:type="dxa" w:w="120"/>
              <w:left w:type="dxa" w:w="200"/>
              <w:bottom w:type="dxa" w:w="120"/>
              <w:right w:type="dxa" w:w="200"/>
            </w:tcMar>
          </w:tcPr>
          <w:p>
            <w:pPr>
              <w:spacing w:after="80" w:before="80" w:line="360"/>
            </w:pPr>
            <w:r>
              <w:rPr>
                <w:rFonts w:ascii="Arial" w:cs="Arial" w:eastAsia="Arial" w:hAnsi="Arial"/>
                <w:b/>
                <w:bCs/>
                <w:color w:val="92400E"/>
                <w:sz w:val="22"/>
                <w:szCs w:val="22"/>
              </w:rPr>
              <w:t xml:space="preserve">说明：</w:t>
            </w:r>
            <w:r>
              <w:rPr>
                <w:rFonts w:ascii="Arial" w:cs="Arial" w:eastAsia="Arial" w:hAnsi="Arial"/>
                <w:color w:val="374151"/>
                <w:sz w:val="22"/>
                <w:szCs w:val="22"/>
              </w:rPr>
              <w:t xml:space="preserve">论文投稿及开源发布计划于 2025 年上半年实施，届时将补充实验表征数据以完善结论部分。如有其他学术成果（会议报告、参与项目、培训研修等），请在此处补充填写。</w:t>
            </w:r>
          </w:p>
        </w:tc>
      </w:tr>
    </w:tbl>
    <w:p>
      <w:pPr>
        <w:spacing w:after="160" w:before="160"/>
      </w:pPr>
      <w:r>
        <w:rPr>
          <w:rFonts w:ascii="Arial" w:cs="Arial" w:eastAsia="Arial" w:hAnsi="Arial"/>
          <w:color w:val="374151"/>
          <w:sz w:val="22"/>
          <w:szCs w:val="22"/>
        </w:rPr>
        <w:t xml:space="preserve"/>
      </w:r>
    </w:p>
    <w:p>
      <w:pPr>
        <w:pStyle w:val="Heading1"/>
        <w:pBdr>
          <w:bottom w:val="single" w:color="2563AE" w:sz="8" w:space="4"/>
        </w:pBdr>
        <w:spacing w:after="140" w:before="360"/>
      </w:pPr>
      <w:r>
        <w:rPr>
          <w:rFonts w:ascii="Arial" w:cs="Arial" w:eastAsia="Arial" w:hAnsi="Arial"/>
          <w:b/>
          <w:bCs/>
          <w:color w:val="1B3A6B"/>
          <w:sz w:val="30"/>
          <w:szCs w:val="30"/>
        </w:rPr>
        <w:t xml:space="preserve">五、存在的问题与不足</w:t>
      </w:r>
    </w:p>
    <w:p>
      <w:pPr>
        <w:spacing w:after="80" w:before="80" w:line="360"/>
      </w:pPr>
      <w:r>
        <w:rPr>
          <w:rFonts w:ascii="Arial" w:cs="Arial" w:eastAsia="Arial" w:hAnsi="Arial"/>
          <w:color w:val="374151"/>
          <w:sz w:val="22"/>
          <w:szCs w:val="22"/>
        </w:rPr>
        <w:t xml:space="preserve">本年度工作虽按计划完成了计算部分的全部核心目标，但以下方面存在不足，需在 2025 年重点跟进：</w:t>
      </w:r>
    </w:p>
    <w:p>
      <w:pPr>
        <w:spacing w:after="80" w:before="80"/>
      </w:pPr>
      <w:r>
        <w:rPr>
          <w:rFonts w:ascii="Arial" w:cs="Arial" w:eastAsia="Arial" w:hAnsi="Arial"/>
          <w:color w:val="374151"/>
          <w:sz w:val="22"/>
          <w:szCs w:val="22"/>
        </w:rPr>
        <w:t xml:space="preserve"/>
      </w:r>
    </w:p>
    <w:p>
      <w:pPr>
        <w:pStyle w:val="ListParagraph"/>
        <w:numPr>
          <w:ilvl w:val="0"/>
          <w:numId w:val="2"/>
        </w:numPr>
        <w:spacing w:after="60" w:before="60" w:line="340"/>
      </w:pPr>
      <w:r>
        <w:rPr>
          <w:rFonts w:ascii="Arial" w:cs="Arial" w:eastAsia="Arial" w:hAnsi="Arial"/>
          <w:b/>
          <w:bCs/>
          <w:color w:val="374151"/>
          <w:sz w:val="22"/>
          <w:szCs w:val="22"/>
        </w:rPr>
        <w:t xml:space="preserve">CI-NEB 迁移势垒计算有所延迟：</w:t>
      </w:r>
      <w:r>
        <w:rPr>
          <w:rFonts w:ascii="Arial" w:cs="Arial" w:eastAsia="Arial" w:hAnsi="Arial"/>
          <w:color w:val="374151"/>
          <w:sz w:val="22"/>
          <w:szCs w:val="22"/>
        </w:rPr>
        <w:t xml:space="preserve">受计算集群排队影响，针对 Ti/Nb 最优构型的 Li⁺ 迁移势垒 CI-NEB 计算尚未完成，导致课题"离子动力学"预测维度的定量结论暂缺，预计 2025 年第一季度补充完成。</w:t>
      </w:r>
    </w:p>
    <w:p>
      <w:pPr>
        <w:pStyle w:val="ListParagraph"/>
        <w:numPr>
          <w:ilvl w:val="0"/>
          <w:numId w:val="2"/>
        </w:numPr>
        <w:spacing w:after="60" w:before="60" w:line="340"/>
      </w:pPr>
      <w:r>
        <w:rPr>
          <w:rFonts w:ascii="Arial" w:cs="Arial" w:eastAsia="Arial" w:hAnsi="Arial"/>
          <w:b/>
          <w:bCs/>
          <w:color w:val="374151"/>
          <w:sz w:val="22"/>
          <w:szCs w:val="22"/>
        </w:rPr>
        <w:t xml:space="preserve">实验-计算系统对比有待深化：</w:t>
      </w:r>
      <w:r>
        <w:rPr>
          <w:rFonts w:ascii="Arial" w:cs="Arial" w:eastAsia="Arial" w:hAnsi="Arial"/>
          <w:color w:val="374151"/>
          <w:sz w:val="22"/>
          <w:szCs w:val="22"/>
        </w:rPr>
        <w:t xml:space="preserve">目前 XPS 价态分析、GITT 扩散系数等关键实验表征尚未完成，计算预测（带隙降幅、迁移势垒）与实验测量的定量对应分析仍需完善，预计 2025 年第二季度形成完整对比结论。</w:t>
      </w:r>
    </w:p>
    <w:p>
      <w:pPr>
        <w:pStyle w:val="ListParagraph"/>
        <w:numPr>
          <w:ilvl w:val="0"/>
          <w:numId w:val="2"/>
        </w:numPr>
        <w:spacing w:after="60" w:before="60" w:line="340"/>
      </w:pPr>
      <w:r>
        <w:rPr>
          <w:rFonts w:ascii="Arial" w:cs="Arial" w:eastAsia="Arial" w:hAnsi="Arial"/>
          <w:b/>
          <w:bCs/>
          <w:color w:val="374151"/>
          <w:sz w:val="22"/>
          <w:szCs w:val="22"/>
        </w:rPr>
        <w:t xml:space="preserve">论文投稿进度略有滞后：</w:t>
      </w:r>
      <w:r>
        <w:rPr>
          <w:rFonts w:ascii="Arial" w:cs="Arial" w:eastAsia="Arial" w:hAnsi="Arial"/>
          <w:color w:val="374151"/>
          <w:sz w:val="22"/>
          <w:szCs w:val="22"/>
        </w:rPr>
        <w:t xml:space="preserve">因等待实验数据以完整呈现计算-实验双支撑的结论体系，论文投稿时间推迟至 2025 年上半年，影响了年度产出节奏，后续将加快推进。</w:t>
      </w:r>
    </w:p>
    <w:p>
      <w:pPr>
        <w:spacing w:after="160" w:before="160"/>
      </w:pPr>
      <w:r>
        <w:rPr>
          <w:rFonts w:ascii="Arial" w:cs="Arial" w:eastAsia="Arial" w:hAnsi="Arial"/>
          <w:color w:val="374151"/>
          <w:sz w:val="22"/>
          <w:szCs w:val="22"/>
        </w:rPr>
        <w:t xml:space="preserve"/>
      </w:r>
    </w:p>
    <w:p>
      <w:pPr>
        <w:pStyle w:val="Heading1"/>
        <w:pBdr>
          <w:bottom w:val="single" w:color="2563AE" w:sz="8" w:space="4"/>
        </w:pBdr>
        <w:spacing w:after="140" w:before="360"/>
      </w:pPr>
      <w:r>
        <w:rPr>
          <w:rFonts w:ascii="Arial" w:cs="Arial" w:eastAsia="Arial" w:hAnsi="Arial"/>
          <w:b/>
          <w:bCs/>
          <w:color w:val="1B3A6B"/>
          <w:sz w:val="30"/>
          <w:szCs w:val="30"/>
        </w:rPr>
        <w:t xml:space="preserve">六、2025 年工作计划</w:t>
      </w:r>
    </w:p>
    <w:p>
      <w:pPr>
        <w:spacing w:after="80" w:before="8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13"/>
        <w:gridCol w:w="3213"/>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时间段</w:t>
            </w:r>
          </w:p>
        </w:tc>
        <w:tc>
          <w:tcPr>
            <w:tcW w:type="dxa" w:w="4613"/>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主要任务</w:t>
            </w:r>
          </w:p>
        </w:tc>
        <w:tc>
          <w:tcPr>
            <w:tcW w:type="dxa" w:w="3213"/>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预期成果</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2025 Q1
（1–3 月）</w:t>
            </w:r>
          </w:p>
        </w:tc>
        <w:tc>
          <w:tcPr>
            <w:tcW w:type="dxa" w:w="46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完成 Ti/Nb 体系 CI-NEB Li⁺ 迁移势垒计算；完成 XPS、GITT、EIS、倍率性能等全套电化学表征；开展计算预测与实验结果的系统对比分析</w:t>
            </w:r>
          </w:p>
        </w:tc>
        <w:tc>
          <w:tcPr>
            <w:tcW w:type="dxa" w:w="32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CI-NEB 迁移势垒数据；完整电化学表征数据集；计算-实验对应关系量化分析</w:t>
            </w:r>
          </w:p>
        </w:tc>
      </w:tr>
      <w:tr>
        <w:tc>
          <w:tcPr>
            <w:tcW w:type="dxa" w:w="1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2025 Q2
（4–6 月）</w:t>
            </w:r>
          </w:p>
        </w:tc>
        <w:tc>
          <w:tcPr>
            <w:tcW w:type="dxa" w:w="46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完成第一篇 SCI 论文撰写、修改与投稿；正式开源发布 ALIGNN 微调模型与 LFP 掺杂数据集；启动第二篇实验验证论文撰写</w:t>
            </w:r>
          </w:p>
        </w:tc>
        <w:tc>
          <w:tcPr>
            <w:tcW w:type="dxa" w:w="32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投稿论文 1 篇（npj Computational Materials 或同级别期刊）；开源模型正式发布</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2025 Q3
（7–9 月）</w:t>
            </w:r>
          </w:p>
        </w:tc>
        <w:tc>
          <w:tcPr>
            <w:tcW w:type="dxa" w:w="46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完成第二篇实验验证论文撰写与投稿；完善结题报告，准备结题答辩材料</w:t>
            </w:r>
          </w:p>
        </w:tc>
        <w:tc>
          <w:tcPr>
            <w:tcW w:type="dxa" w:w="3213"/>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center"/>
          </w:tcPr>
          <w:p>
            <w:r>
              <w:rPr>
                <w:rFonts w:ascii="Arial" w:cs="Arial" w:eastAsia="Arial" w:hAnsi="Arial"/>
                <w:color w:val="374151"/>
                <w:sz w:val="20"/>
                <w:szCs w:val="20"/>
              </w:rPr>
              <w:t xml:space="preserve">投稿论文 1 篇；结题报告终稿</w:t>
            </w:r>
          </w:p>
        </w:tc>
      </w:tr>
      <w:tr>
        <w:tc>
          <w:tcPr>
            <w:tcW w:type="dxa" w:w="1200"/>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2025 Q4
（10–12 月）</w:t>
            </w:r>
          </w:p>
        </w:tc>
        <w:tc>
          <w:tcPr>
            <w:tcW w:type="dxa" w:w="46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完成博士后出站答辩；总结 ML 驱动材料设计方法论，探索在其他正极材料（如 LNMO、NCM）体系的推广应用</w:t>
            </w:r>
          </w:p>
        </w:tc>
        <w:tc>
          <w:tcPr>
            <w:tcW w:type="dxa" w:w="3213"/>
            <w:tcBorders>
              <w:top w:val="single" w:color="CBD5E1" w:sz="1"/>
              <w:left w:val="single" w:color="CBD5E1" w:sz="1"/>
              <w:bottom w:val="single" w:color="CBD5E1" w:sz="1"/>
              <w:right w:val="single" w:color="CBD5E1" w:sz="1"/>
            </w:tcBorders>
            <w:shd w:fill="DBEAFE" w:val="clear"/>
            <w:tcMar>
              <w:top w:type="dxa" w:w="70"/>
              <w:left w:type="dxa" w:w="120"/>
              <w:bottom w:type="dxa" w:w="70"/>
              <w:right w:type="dxa" w:w="120"/>
            </w:tcMar>
            <w:vAlign w:val="center"/>
          </w:tcPr>
          <w:p>
            <w:r>
              <w:rPr>
                <w:rFonts w:ascii="Arial" w:cs="Arial" w:eastAsia="Arial" w:hAnsi="Arial"/>
                <w:color w:val="374151"/>
                <w:sz w:val="20"/>
                <w:szCs w:val="20"/>
              </w:rPr>
              <w:t xml:space="preserve">出站答辩；方法论扩展应用初探</w:t>
            </w:r>
          </w:p>
        </w:tc>
      </w:tr>
    </w:tbl>
    <w:p>
      <w:pPr>
        <w:spacing w:after="200" w:before="200"/>
      </w:pPr>
      <w:r>
        <w:rPr>
          <w:rFonts w:ascii="Arial" w:cs="Arial" w:eastAsia="Arial" w:hAnsi="Arial"/>
          <w:color w:val="374151"/>
          <w:sz w:val="22"/>
          <w:szCs w:val="22"/>
        </w:rPr>
        <w:t xml:space="preserve"/>
      </w:r>
    </w:p>
    <w:p>
      <w:pPr>
        <w:pBdr>
          <w:top w:val="single" w:color="CBD5E1" w:sz="6" w:space="4"/>
        </w:pBdr>
        <w:spacing w:after="200" w:before="320"/>
      </w:pPr>
      <w:r>
        <w:rPr>
          <w:rFonts w:ascii="Arial" w:cs="Arial" w:eastAsia="Arial" w:hAnsi="Arial"/>
          <w:color w:val="374151"/>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tcMar>
              <w:top w:type="dxa" w:w="80"/>
              <w:left w:type="dxa" w:w="0"/>
              <w:bottom w:type="dxa" w:w="80"/>
              <w:right w:type="dxa" w:w="120"/>
            </w:tcMar>
          </w:tcPr>
          <w:p>
            <w:pPr>
              <w:spacing w:after="80" w:before="80" w:line="360"/>
            </w:pPr>
            <w:r>
              <w:rPr>
                <w:rFonts w:ascii="Arial" w:cs="Arial" w:eastAsia="Arial" w:hAnsi="Arial"/>
                <w:b/>
                <w:bCs/>
                <w:color w:val="6B7280"/>
                <w:sz w:val="22"/>
                <w:szCs w:val="22"/>
              </w:rPr>
              <w:t xml:space="preserve">本人签字：</w:t>
            </w:r>
            <w:r>
              <w:rPr>
                <w:rFonts w:ascii="Arial" w:cs="Arial" w:eastAsia="Arial" w:hAnsi="Arial"/>
                <w:color w:val="6B7280"/>
                <w:sz w:val="22"/>
                <w:szCs w:val="22"/>
              </w:rPr>
              <w:t xml:space="preserve">___________________</w:t>
            </w:r>
          </w:p>
          <w:p>
            <w:pPr>
              <w:spacing w:after="80" w:before="80" w:line="360"/>
            </w:pPr>
            <w:r>
              <w:rPr>
                <w:rFonts w:ascii="Arial" w:cs="Arial" w:eastAsia="Arial" w:hAnsi="Arial"/>
                <w:b/>
                <w:bCs/>
                <w:color w:val="6B7280"/>
                <w:sz w:val="22"/>
                <w:szCs w:val="22"/>
              </w:rPr>
              <w:t xml:space="preserve">日期：</w:t>
            </w:r>
            <w:r>
              <w:rPr>
                <w:rFonts w:ascii="Arial" w:cs="Arial" w:eastAsia="Arial" w:hAnsi="Arial"/>
                <w:color w:val="6B7280"/>
                <w:sz w:val="22"/>
                <w:szCs w:val="22"/>
              </w:rPr>
              <w:t xml:space="preserve">______年______月______日</w:t>
            </w:r>
          </w:p>
        </w:tc>
        <w:tc>
          <w:tcPr>
            <w:tcW w:type="dxa" w:w="4513"/>
            <w:tcBorders>
              <w:top w:val="nil" w:color="FFFFFF" w:sz="0"/>
              <w:left w:val="nil" w:color="FFFFFF" w:sz="0"/>
              <w:bottom w:val="nil" w:color="FFFFFF" w:sz="0"/>
              <w:right w:val="nil" w:color="FFFFFF" w:sz="0"/>
            </w:tcBorders>
            <w:tcMar>
              <w:top w:type="dxa" w:w="80"/>
              <w:left w:type="dxa" w:w="120"/>
              <w:bottom w:type="dxa" w:w="80"/>
              <w:right w:type="dxa" w:w="0"/>
            </w:tcMar>
          </w:tcPr>
          <w:p>
            <w:pPr>
              <w:spacing w:after="80" w:before="80" w:line="360"/>
            </w:pPr>
            <w:r>
              <w:rPr>
                <w:rFonts w:ascii="Arial" w:cs="Arial" w:eastAsia="Arial" w:hAnsi="Arial"/>
                <w:b/>
                <w:bCs/>
                <w:color w:val="6B7280"/>
                <w:sz w:val="22"/>
                <w:szCs w:val="22"/>
              </w:rPr>
              <w:t xml:space="preserve">指导教师签字：</w:t>
            </w:r>
            <w:r>
              <w:rPr>
                <w:rFonts w:ascii="Arial" w:cs="Arial" w:eastAsia="Arial" w:hAnsi="Arial"/>
                <w:color w:val="6B7280"/>
                <w:sz w:val="22"/>
                <w:szCs w:val="22"/>
              </w:rPr>
              <w:t xml:space="preserve">___________________</w:t>
            </w:r>
          </w:p>
          <w:p>
            <w:pPr>
              <w:spacing w:after="80" w:before="80" w:line="360"/>
            </w:pPr>
            <w:r>
              <w:rPr>
                <w:rFonts w:ascii="Arial" w:cs="Arial" w:eastAsia="Arial" w:hAnsi="Arial"/>
                <w:b/>
                <w:bCs/>
                <w:color w:val="6B7280"/>
                <w:sz w:val="22"/>
                <w:szCs w:val="22"/>
              </w:rPr>
              <w:t xml:space="preserve">日期：</w:t>
            </w:r>
            <w:r>
              <w:rPr>
                <w:rFonts w:ascii="Arial" w:cs="Arial" w:eastAsia="Arial" w:hAnsi="Arial"/>
                <w:color w:val="6B7280"/>
                <w:sz w:val="22"/>
                <w:szCs w:val="22"/>
              </w:rPr>
              <w:t xml:space="preserve">______年______月______日</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E" w:sz="6" w:space="1"/>
      </w:pBdr>
      <w:spacing w:before="100"/>
      <w:jc w:val="center"/>
    </w:pPr>
    <w:r>
      <w:rPr>
        <w:rFonts w:ascii="Arial" w:cs="Arial" w:eastAsia="Arial" w:hAnsi="Arial"/>
        <w:color w:val="6B7280"/>
        <w:sz w:val="18"/>
        <w:szCs w:val="18"/>
      </w:rPr>
      <w:t xml:space="preserve">第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E" w:sz="6" w:space="1"/>
      </w:pBdr>
      <w:spacing w:after="100"/>
    </w:pPr>
    <w:r>
      <w:rPr>
        <w:rFonts w:ascii="Arial" w:cs="Arial" w:eastAsia="Arial" w:hAnsi="Arial"/>
        <w:color w:val="2563AE"/>
        <w:sz w:val="18"/>
        <w:szCs w:val="18"/>
      </w:rPr>
      <w:t xml:space="preserve">2024 年度博士后工作总结  |  基于机器学习与材料计算的磷酸铁锂掺杂改性研究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563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2026-04-13T01:09:01.458Z</dcterms:created>
  <dcterms:modified xsi:type="dcterms:W3CDTF">2026-04-13T01:09:01.459Z</dcterms:modified>
</cp:coreProperties>
</file>

<file path=docProps/custom.xml><?xml version="1.0" encoding="utf-8"?>
<Properties xmlns="http://schemas.openxmlformats.org/officeDocument/2006/custom-properties" xmlns:vt="http://schemas.openxmlformats.org/officeDocument/2006/docPropsVTypes"/>
</file>