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D89" w:rsidRDefault="00014D89">
      <w:pPr>
        <w:rPr>
          <w:rFonts w:ascii="黑体" w:eastAsia="黑体" w:hAnsi="黑体" w:hint="eastAsia"/>
          <w:bCs/>
          <w:color w:val="000000"/>
          <w:sz w:val="21"/>
          <w:szCs w:val="21"/>
        </w:rPr>
      </w:pPr>
      <w:bookmarkStart w:id="0" w:name="_GoBack"/>
      <w:bookmarkEnd w:id="0"/>
      <w:r>
        <w:rPr>
          <w:rFonts w:ascii="黑体" w:eastAsia="黑体" w:hAnsi="黑体" w:hint="eastAsia"/>
          <w:color w:val="000000"/>
          <w:sz w:val="21"/>
          <w:szCs w:val="21"/>
        </w:rPr>
        <w:t>文件编号：WN-QR-</w:t>
      </w:r>
      <w:r>
        <w:rPr>
          <w:rFonts w:ascii="黑体" w:eastAsia="黑体" w:hAnsi="黑体" w:hint="eastAsia"/>
          <w:bCs/>
          <w:color w:val="000000"/>
          <w:sz w:val="21"/>
          <w:szCs w:val="21"/>
        </w:rPr>
        <w:t>0</w:t>
      </w:r>
      <w:r>
        <w:rPr>
          <w:rFonts w:ascii="黑体" w:eastAsia="黑体" w:hAnsi="黑体"/>
          <w:bCs/>
          <w:color w:val="000000"/>
          <w:sz w:val="21"/>
          <w:szCs w:val="21"/>
        </w:rPr>
        <w:t>-</w:t>
      </w:r>
      <w:r>
        <w:rPr>
          <w:rFonts w:ascii="黑体" w:eastAsia="黑体" w:hAnsi="黑体" w:hint="eastAsia"/>
          <w:bCs/>
          <w:color w:val="000000"/>
          <w:sz w:val="21"/>
          <w:szCs w:val="21"/>
        </w:rPr>
        <w:t>1-A</w:t>
      </w:r>
      <w:r>
        <w:rPr>
          <w:rFonts w:ascii="华文中宋" w:eastAsia="华文中宋" w:hAnsi="华文中宋" w:hint="eastAsia"/>
          <w:sz w:val="21"/>
          <w:szCs w:val="21"/>
        </w:rPr>
        <w:t>项目启动会会议记录</w:t>
      </w:r>
      <w:r>
        <w:rPr>
          <w:rFonts w:ascii="黑体" w:eastAsia="黑体" w:hAnsi="黑体" w:hint="eastAsia"/>
          <w:bCs/>
          <w:color w:val="000000"/>
          <w:sz w:val="21"/>
          <w:szCs w:val="21"/>
        </w:rPr>
        <w:t>-1.5</w:t>
      </w:r>
    </w:p>
    <w:p w:rsidR="00014D89" w:rsidRDefault="00014D89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归档时间：项目启动会召开一周内书面文档</w:t>
      </w:r>
    </w:p>
    <w:p w:rsidR="00014D89" w:rsidRDefault="00DA3BF5">
      <w:pPr>
        <w:pStyle w:val="ad"/>
        <w:spacing w:line="360" w:lineRule="auto"/>
        <w:jc w:val="center"/>
        <w:rPr>
          <w:rFonts w:ascii="宋体" w:hAnsi="宋体" w:hint="eastAsia"/>
        </w:rPr>
      </w:pPr>
      <w:r w:rsidRPr="00DA3BF5">
        <w:rPr>
          <w:rFonts w:ascii="华文中宋" w:eastAsia="华文中宋" w:hAnsi="华文中宋" w:hint="eastAsia"/>
          <w:b/>
          <w:color w:val="FF0000"/>
          <w:sz w:val="36"/>
          <w:szCs w:val="36"/>
          <w:u w:val="single"/>
        </w:rPr>
        <w:t>变量2</w:t>
      </w:r>
      <w:r w:rsidR="00014D89">
        <w:rPr>
          <w:rFonts w:ascii="华文中宋" w:eastAsia="华文中宋" w:hAnsi="华文中宋" w:hint="eastAsia"/>
          <w:b/>
          <w:sz w:val="36"/>
          <w:szCs w:val="36"/>
        </w:rPr>
        <w:t>项目启动会会议记录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977"/>
        <w:gridCol w:w="567"/>
        <w:gridCol w:w="5510"/>
      </w:tblGrid>
      <w:tr w:rsidR="00014D89">
        <w:trPr>
          <w:trHeight w:val="379"/>
        </w:trPr>
        <w:tc>
          <w:tcPr>
            <w:tcW w:w="1242" w:type="dxa"/>
            <w:shd w:val="clear" w:color="auto" w:fill="FFFF99"/>
            <w:vAlign w:val="bottom"/>
          </w:tcPr>
          <w:p w:rsidR="00014D89" w:rsidRDefault="00014D89">
            <w:pPr>
              <w:pStyle w:val="ad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时间</w:t>
            </w:r>
          </w:p>
        </w:tc>
        <w:tc>
          <w:tcPr>
            <w:tcW w:w="2977" w:type="dxa"/>
            <w:shd w:val="clear" w:color="auto" w:fill="auto"/>
            <w:vAlign w:val="bottom"/>
          </w:tcPr>
          <w:p w:rsidR="00014D89" w:rsidRDefault="00F519F9">
            <w:pPr>
              <w:pStyle w:val="p0"/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变量6</w:t>
            </w:r>
          </w:p>
        </w:tc>
        <w:tc>
          <w:tcPr>
            <w:tcW w:w="567" w:type="dxa"/>
            <w:vMerge w:val="restart"/>
            <w:shd w:val="clear" w:color="auto" w:fill="FFFF99"/>
            <w:vAlign w:val="center"/>
          </w:tcPr>
          <w:p w:rsidR="00014D89" w:rsidRDefault="00014D89">
            <w:pPr>
              <w:pStyle w:val="ad"/>
              <w:spacing w:line="360" w:lineRule="auto"/>
              <w:jc w:val="both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与会人员</w:t>
            </w:r>
          </w:p>
        </w:tc>
        <w:tc>
          <w:tcPr>
            <w:tcW w:w="5510" w:type="dxa"/>
            <w:vMerge w:val="restart"/>
          </w:tcPr>
          <w:p w:rsidR="00014D89" w:rsidRDefault="00014D89">
            <w:pPr>
              <w:pStyle w:val="p0"/>
              <w:rPr>
                <w:rFonts w:hint="eastAsia"/>
              </w:rPr>
            </w:pPr>
            <w:r>
              <w:rPr>
                <w:rFonts w:ascii="宋体" w:hAnsi="宋体" w:hint="eastAsia"/>
              </w:rPr>
              <w:t>客户：</w:t>
            </w:r>
            <w:r w:rsidR="000674D9" w:rsidRPr="00D52EA8">
              <w:rPr>
                <w:rFonts w:ascii="宋体" w:hAnsi="宋体" w:hint="eastAsia"/>
                <w:color w:val="FF0000"/>
              </w:rPr>
              <w:t>变量5</w:t>
            </w:r>
          </w:p>
          <w:p w:rsidR="00014D89" w:rsidRDefault="00014D89">
            <w:pPr>
              <w:pStyle w:val="ad"/>
              <w:spacing w:line="360" w:lineRule="auto"/>
              <w:jc w:val="both"/>
              <w:rPr>
                <w:rFonts w:ascii="宋体" w:hAnsi="宋体" w:hint="eastAsia"/>
              </w:rPr>
            </w:pPr>
          </w:p>
        </w:tc>
      </w:tr>
      <w:tr w:rsidR="00014D89">
        <w:trPr>
          <w:trHeight w:val="428"/>
        </w:trPr>
        <w:tc>
          <w:tcPr>
            <w:tcW w:w="1242" w:type="dxa"/>
            <w:shd w:val="clear" w:color="auto" w:fill="FFFF99"/>
            <w:vAlign w:val="bottom"/>
          </w:tcPr>
          <w:p w:rsidR="00014D89" w:rsidRDefault="00014D89">
            <w:pPr>
              <w:pStyle w:val="ad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地点</w:t>
            </w:r>
          </w:p>
        </w:tc>
        <w:tc>
          <w:tcPr>
            <w:tcW w:w="2977" w:type="dxa"/>
            <w:shd w:val="clear" w:color="auto" w:fill="auto"/>
            <w:vAlign w:val="bottom"/>
          </w:tcPr>
          <w:p w:rsidR="00014D89" w:rsidRDefault="00014D89">
            <w:pPr>
              <w:pStyle w:val="p0"/>
              <w:rPr>
                <w:rFonts w:hint="eastAsia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会议室</w:t>
            </w:r>
          </w:p>
        </w:tc>
        <w:tc>
          <w:tcPr>
            <w:tcW w:w="567" w:type="dxa"/>
            <w:vMerge/>
            <w:shd w:val="clear" w:color="auto" w:fill="FFFF99"/>
            <w:vAlign w:val="center"/>
          </w:tcPr>
          <w:p w:rsidR="00014D89" w:rsidRDefault="00014D89">
            <w:pPr>
              <w:pStyle w:val="ad"/>
              <w:spacing w:line="360" w:lineRule="auto"/>
              <w:jc w:val="both"/>
              <w:rPr>
                <w:rFonts w:ascii="宋体" w:hAnsi="宋体" w:hint="eastAsia"/>
              </w:rPr>
            </w:pPr>
          </w:p>
        </w:tc>
        <w:tc>
          <w:tcPr>
            <w:tcW w:w="5510" w:type="dxa"/>
            <w:vMerge/>
            <w:vAlign w:val="center"/>
          </w:tcPr>
          <w:p w:rsidR="00014D89" w:rsidRDefault="00014D89">
            <w:pPr>
              <w:pStyle w:val="ad"/>
              <w:spacing w:line="360" w:lineRule="auto"/>
              <w:jc w:val="both"/>
              <w:rPr>
                <w:rFonts w:ascii="宋体" w:hAnsi="宋体" w:hint="eastAsia"/>
              </w:rPr>
            </w:pPr>
          </w:p>
        </w:tc>
      </w:tr>
      <w:tr w:rsidR="00014D89">
        <w:trPr>
          <w:trHeight w:val="406"/>
        </w:trPr>
        <w:tc>
          <w:tcPr>
            <w:tcW w:w="1242" w:type="dxa"/>
            <w:shd w:val="clear" w:color="auto" w:fill="FFFF99"/>
            <w:vAlign w:val="bottom"/>
          </w:tcPr>
          <w:p w:rsidR="00014D89" w:rsidRDefault="00014D89">
            <w:pPr>
              <w:pStyle w:val="ad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主持人</w:t>
            </w:r>
          </w:p>
        </w:tc>
        <w:tc>
          <w:tcPr>
            <w:tcW w:w="2977" w:type="dxa"/>
            <w:shd w:val="clear" w:color="auto" w:fill="auto"/>
            <w:vAlign w:val="bottom"/>
          </w:tcPr>
          <w:p w:rsidR="00014D89" w:rsidRDefault="00F519F9">
            <w:pPr>
              <w:pStyle w:val="p0"/>
              <w:rPr>
                <w:rFonts w:hint="eastAsia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变量4</w:t>
            </w:r>
          </w:p>
        </w:tc>
        <w:tc>
          <w:tcPr>
            <w:tcW w:w="567" w:type="dxa"/>
            <w:vMerge/>
            <w:shd w:val="clear" w:color="auto" w:fill="FFFF99"/>
            <w:vAlign w:val="center"/>
          </w:tcPr>
          <w:p w:rsidR="00014D89" w:rsidRDefault="00014D89">
            <w:pPr>
              <w:pStyle w:val="ad"/>
              <w:spacing w:line="360" w:lineRule="auto"/>
              <w:jc w:val="both"/>
              <w:rPr>
                <w:rFonts w:ascii="宋体" w:hAnsi="宋体" w:hint="eastAsia"/>
              </w:rPr>
            </w:pPr>
          </w:p>
        </w:tc>
        <w:tc>
          <w:tcPr>
            <w:tcW w:w="5510" w:type="dxa"/>
            <w:vMerge/>
            <w:vAlign w:val="center"/>
          </w:tcPr>
          <w:p w:rsidR="00014D89" w:rsidRDefault="00014D89">
            <w:pPr>
              <w:pStyle w:val="ad"/>
              <w:spacing w:line="360" w:lineRule="auto"/>
              <w:jc w:val="both"/>
              <w:rPr>
                <w:rFonts w:ascii="宋体" w:hAnsi="宋体" w:hint="eastAsia"/>
              </w:rPr>
            </w:pPr>
          </w:p>
        </w:tc>
      </w:tr>
      <w:tr w:rsidR="00014D89">
        <w:trPr>
          <w:trHeight w:val="425"/>
        </w:trPr>
        <w:tc>
          <w:tcPr>
            <w:tcW w:w="1242" w:type="dxa"/>
            <w:shd w:val="clear" w:color="auto" w:fill="FFFF99"/>
            <w:vAlign w:val="bottom"/>
          </w:tcPr>
          <w:p w:rsidR="00014D89" w:rsidRDefault="00014D89">
            <w:pPr>
              <w:pStyle w:val="ad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记录人</w:t>
            </w:r>
          </w:p>
        </w:tc>
        <w:tc>
          <w:tcPr>
            <w:tcW w:w="2977" w:type="dxa"/>
            <w:shd w:val="clear" w:color="auto" w:fill="auto"/>
            <w:vAlign w:val="bottom"/>
          </w:tcPr>
          <w:p w:rsidR="00014D89" w:rsidRDefault="00F519F9">
            <w:pPr>
              <w:pStyle w:val="p0"/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变量4</w:t>
            </w:r>
          </w:p>
        </w:tc>
        <w:tc>
          <w:tcPr>
            <w:tcW w:w="567" w:type="dxa"/>
            <w:vMerge/>
            <w:shd w:val="clear" w:color="auto" w:fill="FFFF99"/>
            <w:vAlign w:val="center"/>
          </w:tcPr>
          <w:p w:rsidR="00014D89" w:rsidRDefault="00014D89">
            <w:pPr>
              <w:pStyle w:val="ad"/>
              <w:spacing w:line="360" w:lineRule="auto"/>
              <w:jc w:val="both"/>
              <w:rPr>
                <w:rFonts w:ascii="宋体" w:hAnsi="宋体" w:hint="eastAsia"/>
              </w:rPr>
            </w:pPr>
          </w:p>
        </w:tc>
        <w:tc>
          <w:tcPr>
            <w:tcW w:w="5510" w:type="dxa"/>
            <w:vMerge/>
            <w:vAlign w:val="center"/>
          </w:tcPr>
          <w:p w:rsidR="00014D89" w:rsidRDefault="00014D89">
            <w:pPr>
              <w:pStyle w:val="ad"/>
              <w:spacing w:line="360" w:lineRule="auto"/>
              <w:jc w:val="both"/>
              <w:rPr>
                <w:rFonts w:ascii="宋体" w:hAnsi="宋体" w:hint="eastAsia"/>
              </w:rPr>
            </w:pPr>
          </w:p>
        </w:tc>
      </w:tr>
      <w:tr w:rsidR="00014D89">
        <w:trPr>
          <w:trHeight w:val="880"/>
        </w:trPr>
        <w:tc>
          <w:tcPr>
            <w:tcW w:w="1242" w:type="dxa"/>
            <w:shd w:val="clear" w:color="auto" w:fill="FFFF99"/>
            <w:vAlign w:val="center"/>
          </w:tcPr>
          <w:p w:rsidR="00014D89" w:rsidRDefault="00014D89">
            <w:pPr>
              <w:pStyle w:val="ad"/>
              <w:spacing w:line="360" w:lineRule="auto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会议主题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014D89" w:rsidRDefault="00F519F9">
            <w:pPr>
              <w:pStyle w:val="ad"/>
              <w:spacing w:line="360" w:lineRule="auto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变量</w:t>
            </w:r>
            <w:r w:rsidR="000674D9">
              <w:rPr>
                <w:rFonts w:ascii="宋体" w:hAnsi="宋体" w:hint="eastAsia"/>
                <w:color w:val="FF0000"/>
                <w:sz w:val="24"/>
                <w:szCs w:val="24"/>
              </w:rPr>
              <w:t>3</w:t>
            </w:r>
          </w:p>
        </w:tc>
        <w:tc>
          <w:tcPr>
            <w:tcW w:w="567" w:type="dxa"/>
            <w:vMerge/>
            <w:shd w:val="clear" w:color="auto" w:fill="FFFF99"/>
            <w:vAlign w:val="center"/>
          </w:tcPr>
          <w:p w:rsidR="00014D89" w:rsidRDefault="00014D89">
            <w:pPr>
              <w:pStyle w:val="ad"/>
              <w:spacing w:line="360" w:lineRule="auto"/>
              <w:jc w:val="both"/>
              <w:rPr>
                <w:rFonts w:ascii="宋体" w:hAnsi="宋体" w:hint="eastAsia"/>
              </w:rPr>
            </w:pPr>
          </w:p>
        </w:tc>
        <w:tc>
          <w:tcPr>
            <w:tcW w:w="5510" w:type="dxa"/>
          </w:tcPr>
          <w:p w:rsidR="00014D89" w:rsidRDefault="00014D89">
            <w:pPr>
              <w:pStyle w:val="p0"/>
            </w:pPr>
            <w:r>
              <w:rPr>
                <w:rFonts w:ascii="宋体" w:hAnsi="宋体" w:hint="eastAsia"/>
              </w:rPr>
              <w:t>公司：</w:t>
            </w:r>
            <w:r w:rsidR="000674D9">
              <w:rPr>
                <w:rFonts w:ascii="宋体" w:hAnsi="宋体" w:hint="eastAsia"/>
                <w:color w:val="FF0000"/>
                <w:sz w:val="24"/>
                <w:szCs w:val="24"/>
              </w:rPr>
              <w:t>变量4</w:t>
            </w:r>
          </w:p>
          <w:p w:rsidR="00014D89" w:rsidRDefault="00014D89">
            <w:pPr>
              <w:pStyle w:val="ad"/>
              <w:spacing w:line="360" w:lineRule="auto"/>
              <w:jc w:val="both"/>
              <w:rPr>
                <w:rFonts w:ascii="宋体" w:hAnsi="宋体" w:hint="eastAsia"/>
              </w:rPr>
            </w:pPr>
          </w:p>
        </w:tc>
      </w:tr>
    </w:tbl>
    <w:p w:rsidR="00014D89" w:rsidRDefault="00014D89">
      <w:pPr>
        <w:pStyle w:val="ad"/>
        <w:spacing w:line="360" w:lineRule="auto"/>
        <w:rPr>
          <w:rFonts w:ascii="宋体" w:hAnsi="宋体" w:hint="eastAsia"/>
        </w:rPr>
      </w:pPr>
    </w:p>
    <w:p w:rsidR="00014D89" w:rsidRDefault="00014D89">
      <w:pPr>
        <w:pStyle w:val="ad"/>
        <w:spacing w:line="360" w:lineRule="auto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一、会议议程：</w:t>
      </w:r>
    </w:p>
    <w:p w:rsidR="00014D89" w:rsidRDefault="00014D89">
      <w:pPr>
        <w:pStyle w:val="ad"/>
        <w:numPr>
          <w:ilvl w:val="0"/>
          <w:numId w:val="2"/>
        </w:numPr>
        <w:tabs>
          <w:tab w:val="clear" w:pos="4320"/>
          <w:tab w:val="center" w:pos="426"/>
        </w:tabs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>各科室安排信息化配合人员</w:t>
      </w:r>
    </w:p>
    <w:p w:rsidR="00014D89" w:rsidRDefault="00014D89">
      <w:pPr>
        <w:pStyle w:val="ad"/>
        <w:numPr>
          <w:ilvl w:val="0"/>
          <w:numId w:val="2"/>
        </w:numPr>
        <w:tabs>
          <w:tab w:val="clear" w:pos="4320"/>
          <w:tab w:val="center" w:pos="426"/>
        </w:tabs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>各科室负责需要录入系统的</w:t>
      </w:r>
      <w:r w:rsidR="00C43C56">
        <w:rPr>
          <w:rFonts w:ascii="宋体" w:hAnsi="宋体" w:hint="eastAsia"/>
        </w:rPr>
        <w:t>基础</w:t>
      </w:r>
      <w:r w:rsidR="00F519F9">
        <w:rPr>
          <w:rFonts w:ascii="宋体" w:hAnsi="宋体" w:hint="eastAsia"/>
        </w:rPr>
        <w:t>数据</w:t>
      </w:r>
    </w:p>
    <w:p w:rsidR="00014D89" w:rsidRDefault="00014D89">
      <w:pPr>
        <w:pStyle w:val="ad"/>
        <w:spacing w:line="360" w:lineRule="auto"/>
        <w:rPr>
          <w:rFonts w:ascii="宋体" w:hAnsi="宋体" w:hint="eastAsia"/>
        </w:rPr>
      </w:pPr>
    </w:p>
    <w:p w:rsidR="00014D89" w:rsidRDefault="00014D89">
      <w:pPr>
        <w:pStyle w:val="ad"/>
        <w:spacing w:line="360" w:lineRule="auto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二、会议达成以下共识：</w:t>
      </w:r>
    </w:p>
    <w:p w:rsidR="00014D89" w:rsidRDefault="00014D89">
      <w:pPr>
        <w:pStyle w:val="ad"/>
        <w:numPr>
          <w:ilvl w:val="0"/>
          <w:numId w:val="3"/>
        </w:numPr>
        <w:tabs>
          <w:tab w:val="left" w:pos="360"/>
        </w:tabs>
        <w:spacing w:line="360" w:lineRule="auto"/>
        <w:rPr>
          <w:rFonts w:hint="eastAsia"/>
        </w:rPr>
      </w:pPr>
      <w:r>
        <w:rPr>
          <w:rFonts w:ascii="宋体" w:hAnsi="宋体" w:hint="eastAsia"/>
        </w:rPr>
        <w:t>明确项目组织机构。具体见《项目小组成员名单》。</w:t>
      </w:r>
    </w:p>
    <w:p w:rsidR="00014D89" w:rsidRDefault="00014D89">
      <w:pPr>
        <w:pStyle w:val="ad"/>
        <w:spacing w:line="360" w:lineRule="auto"/>
        <w:ind w:leftChars="193" w:left="425" w:firstLineChars="6" w:firstLine="13"/>
        <w:rPr>
          <w:rFonts w:hint="eastAsia"/>
        </w:rPr>
      </w:pPr>
      <w:r>
        <w:rPr>
          <w:rFonts w:hint="eastAsia"/>
        </w:rPr>
        <w:t>明确双方项目参与人员及项目决策者。要求双方均有相当级别的人员担当项目经理，以保证双方人员在各自的项目经理下统一协调和配合。同时客户需明了公司项目经理职责，并签字确认。整个项目我方是以项目经理为核心运作，项目经理负责协调等职，不固定在具体的一个项目，然后由实施工程师执行实施工作。</w:t>
      </w:r>
    </w:p>
    <w:p w:rsidR="00014D89" w:rsidRDefault="00014D89">
      <w:pPr>
        <w:ind w:firstLineChars="213" w:firstLine="469"/>
        <w:rPr>
          <w:rFonts w:hint="eastAsia"/>
          <w:snapToGrid w:val="0"/>
          <w:kern w:val="28"/>
        </w:rPr>
      </w:pPr>
    </w:p>
    <w:p w:rsidR="00014D89" w:rsidRDefault="00014D89">
      <w:pPr>
        <w:pStyle w:val="ad"/>
        <w:numPr>
          <w:ilvl w:val="0"/>
          <w:numId w:val="3"/>
        </w:numPr>
        <w:tabs>
          <w:tab w:val="left" w:pos="360"/>
        </w:tabs>
        <w:spacing w:line="360" w:lineRule="auto"/>
        <w:rPr>
          <w:rFonts w:hint="eastAsia"/>
          <w:snapToGrid w:val="0"/>
          <w:kern w:val="28"/>
        </w:rPr>
      </w:pPr>
      <w:r>
        <w:rPr>
          <w:rFonts w:hint="eastAsia"/>
          <w:snapToGrid w:val="0"/>
          <w:kern w:val="28"/>
        </w:rPr>
        <w:t>明确项目分几期实施，每期对应的范围、时间和回款约定。具体见《实施计划》。</w:t>
      </w:r>
    </w:p>
    <w:p w:rsidR="00014D89" w:rsidRDefault="00014D89">
      <w:pPr>
        <w:pStyle w:val="ad"/>
        <w:spacing w:line="360" w:lineRule="auto"/>
        <w:ind w:leftChars="193" w:left="425" w:firstLineChars="6" w:firstLine="13"/>
        <w:rPr>
          <w:rFonts w:hint="eastAsia"/>
        </w:rPr>
      </w:pPr>
      <w:r>
        <w:rPr>
          <w:rFonts w:hint="eastAsia"/>
        </w:rPr>
        <w:t>项目经理会提交具体实施计划由项目双方讨论确定。因此计划内容，双方应严格遵守，若需变化，需双方项目经理确认，由此引起的后果，参照合同条款。</w:t>
      </w:r>
    </w:p>
    <w:p w:rsidR="00014D89" w:rsidRDefault="00014D89">
      <w:pPr>
        <w:ind w:firstLineChars="170" w:firstLine="374"/>
        <w:rPr>
          <w:rFonts w:hint="eastAsia"/>
          <w:snapToGrid w:val="0"/>
          <w:kern w:val="28"/>
        </w:rPr>
      </w:pPr>
    </w:p>
    <w:p w:rsidR="00014D89" w:rsidRDefault="00014D89">
      <w:pPr>
        <w:pStyle w:val="ad"/>
        <w:numPr>
          <w:ilvl w:val="0"/>
          <w:numId w:val="3"/>
        </w:numPr>
        <w:tabs>
          <w:tab w:val="left" w:pos="360"/>
        </w:tabs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>明确项目的工作机制：</w:t>
      </w:r>
    </w:p>
    <w:p w:rsidR="00014D89" w:rsidRDefault="00014D89">
      <w:pPr>
        <w:pStyle w:val="ad"/>
        <w:spacing w:line="360" w:lineRule="auto"/>
        <w:ind w:leftChars="129" w:left="709" w:hangingChars="193" w:hanging="425"/>
        <w:rPr>
          <w:rFonts w:ascii="宋体" w:hAnsi="宋体" w:hint="eastAsia"/>
        </w:rPr>
      </w:pPr>
      <w:r>
        <w:rPr>
          <w:rFonts w:ascii="宋体" w:hAnsi="宋体"/>
        </w:rPr>
        <w:t>3.1</w:t>
      </w:r>
      <w:r>
        <w:rPr>
          <w:rFonts w:ascii="宋体" w:hAnsi="宋体" w:hint="eastAsia"/>
        </w:rPr>
        <w:t>每周</w:t>
      </w:r>
      <w:r>
        <w:rPr>
          <w:rFonts w:ascii="Arial" w:hAnsi="Arial" w:cs="Arial" w:hint="eastAsia"/>
          <w:sz w:val="21"/>
          <w:szCs w:val="21"/>
        </w:rPr>
        <w:t>（或双方认为有必要开的时候）召开</w:t>
      </w:r>
      <w:r>
        <w:rPr>
          <w:rFonts w:ascii="宋体" w:hAnsi="宋体" w:hint="eastAsia"/>
        </w:rPr>
        <w:t>工作例会，向项目组成员通报每周工作完成情况、遗留问题、下周计划以及需要领导决策的内容。具体见《项目周工作报告》，邮件抄送项目组所有组成人员。</w:t>
      </w:r>
    </w:p>
    <w:p w:rsidR="00014D89" w:rsidRDefault="00014D89">
      <w:pPr>
        <w:pStyle w:val="ad"/>
        <w:spacing w:line="360" w:lineRule="auto"/>
        <w:ind w:leftChars="129" w:left="709" w:hangingChars="193" w:hanging="425"/>
        <w:rPr>
          <w:rFonts w:ascii="宋体" w:hAnsi="宋体" w:hint="eastAsia"/>
        </w:rPr>
      </w:pPr>
      <w:r>
        <w:rPr>
          <w:rFonts w:ascii="宋体" w:hAnsi="宋体"/>
        </w:rPr>
        <w:t>3.2</w:t>
      </w:r>
      <w:r>
        <w:rPr>
          <w:rFonts w:ascii="宋体" w:hAnsi="宋体" w:hint="eastAsia"/>
        </w:rPr>
        <w:t>公司对客户相关人员进行数据准备工作的培训，客户按《实施计划》组织相关人员进行数据的录入和核对工作，并签字确认。</w:t>
      </w:r>
      <w:r>
        <w:rPr>
          <w:rFonts w:ascii="宋体" w:hAnsi="宋体" w:hint="eastAsia"/>
          <w:sz w:val="21"/>
          <w:szCs w:val="21"/>
        </w:rPr>
        <w:t>数据准备常因为多种因素受到影响，因此客户方要引起重视，否则引发的后果由客户自己承担。</w:t>
      </w:r>
      <w:r>
        <w:rPr>
          <w:rFonts w:ascii="宋体" w:hAnsi="宋体" w:hint="eastAsia"/>
        </w:rPr>
        <w:t>具体格式见《数据准备验收清单》。</w:t>
      </w:r>
    </w:p>
    <w:p w:rsidR="00014D89" w:rsidRDefault="00014D89">
      <w:pPr>
        <w:pStyle w:val="ad"/>
        <w:spacing w:line="360" w:lineRule="auto"/>
        <w:ind w:leftChars="194" w:left="709" w:hangingChars="128" w:hanging="282"/>
        <w:rPr>
          <w:rFonts w:hint="eastAsia"/>
        </w:rPr>
      </w:pPr>
      <w:r>
        <w:lastRenderedPageBreak/>
        <w:t>3.3</w:t>
      </w:r>
      <w:r>
        <w:rPr>
          <w:rFonts w:hint="eastAsia"/>
        </w:rPr>
        <w:t>客户按《实施计划》提供所有票据、报表等格式及要求，负责与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保等第三方人员的联系协调工作，确保相应硬件及时安装到位（包括培训测试环境、正式使用环境）。按《实施计划》组织相关人员对程序进行功能签字确认。具体见《项目功能范围确认单》。</w:t>
      </w:r>
    </w:p>
    <w:p w:rsidR="00014D89" w:rsidRDefault="00014D89">
      <w:pPr>
        <w:pStyle w:val="ad"/>
        <w:spacing w:line="360" w:lineRule="auto"/>
        <w:ind w:leftChars="193" w:left="709" w:hangingChars="129" w:hanging="284"/>
        <w:rPr>
          <w:rFonts w:hint="eastAsia"/>
          <w:sz w:val="21"/>
          <w:szCs w:val="21"/>
        </w:rPr>
      </w:pPr>
      <w:r>
        <w:rPr>
          <w:rFonts w:hint="eastAsia"/>
        </w:rPr>
        <w:t>3.4</w:t>
      </w:r>
      <w:r>
        <w:rPr>
          <w:rFonts w:hint="eastAsia"/>
          <w:sz w:val="21"/>
          <w:szCs w:val="21"/>
        </w:rPr>
        <w:t>客户必需指定专人负责客户的问题登记与跟踪，配合工程师做好工作底稿制度。</w:t>
      </w:r>
      <w:r>
        <w:rPr>
          <w:rFonts w:hint="eastAsia"/>
        </w:rPr>
        <w:t>客户的所有需求，</w:t>
      </w:r>
      <w:r>
        <w:rPr>
          <w:rFonts w:hint="eastAsia"/>
          <w:color w:val="FF0000"/>
        </w:rPr>
        <w:t>统一</w:t>
      </w:r>
      <w:r>
        <w:rPr>
          <w:rFonts w:hint="eastAsia"/>
        </w:rPr>
        <w:t>由信息科负责收集并给出初步意见，需要公司帮助处理的统一登入《工作底稿》，公司做出答复并对合理需求进行处理。</w:t>
      </w:r>
      <w:r>
        <w:rPr>
          <w:rFonts w:hint="eastAsia"/>
          <w:sz w:val="21"/>
          <w:szCs w:val="21"/>
        </w:rPr>
        <w:t>公司开发答复客户的需求项目经理在三个工作日内与客户沟通确认。未纳入工作底稿而通过非正式渠道反映的问题</w:t>
      </w:r>
      <w:proofErr w:type="gramStart"/>
      <w:r>
        <w:rPr>
          <w:rFonts w:hint="eastAsia"/>
          <w:sz w:val="21"/>
          <w:szCs w:val="21"/>
        </w:rPr>
        <w:t>不</w:t>
      </w:r>
      <w:proofErr w:type="gramEnd"/>
      <w:r>
        <w:rPr>
          <w:rFonts w:hint="eastAsia"/>
          <w:sz w:val="21"/>
          <w:szCs w:val="21"/>
        </w:rPr>
        <w:t>视为有效。</w:t>
      </w:r>
    </w:p>
    <w:p w:rsidR="00014D89" w:rsidRDefault="00014D89">
      <w:pPr>
        <w:pStyle w:val="ad"/>
        <w:spacing w:line="360" w:lineRule="auto"/>
        <w:ind w:leftChars="193" w:left="709" w:hangingChars="129" w:hanging="284"/>
        <w:rPr>
          <w:rFonts w:hint="eastAsia"/>
        </w:rPr>
      </w:pPr>
      <w:r>
        <w:t>3.5</w:t>
      </w:r>
      <w:r>
        <w:rPr>
          <w:rFonts w:hint="eastAsia"/>
        </w:rPr>
        <w:t>客户除提供必要的场所，设备外按《实施计划》做好操作人员的培训组织工作，公司负责培训和考核工作。具体见《培训考核记录》。若因客户方原因引起的人员培训效果不好，客户方需清楚其后续影响。</w:t>
      </w:r>
    </w:p>
    <w:p w:rsidR="00014D89" w:rsidRDefault="00014D89">
      <w:pPr>
        <w:pStyle w:val="ad"/>
        <w:spacing w:line="360" w:lineRule="auto"/>
        <w:ind w:leftChars="193" w:left="709" w:hangingChars="129" w:hanging="284"/>
        <w:rPr>
          <w:rFonts w:hint="eastAsia"/>
        </w:rPr>
      </w:pPr>
      <w:r>
        <w:t>3.6</w:t>
      </w:r>
      <w:r>
        <w:rPr>
          <w:rFonts w:hint="eastAsia"/>
        </w:rPr>
        <w:t>客户按《实施计划》组织相关人员进行模拟运行，对涉及费用的操作进行重点模拟，以</w:t>
      </w:r>
      <w:proofErr w:type="gramStart"/>
      <w:r>
        <w:rPr>
          <w:rFonts w:hint="eastAsia"/>
        </w:rPr>
        <w:t>保数据</w:t>
      </w:r>
      <w:proofErr w:type="gramEnd"/>
      <w:r>
        <w:rPr>
          <w:rFonts w:hint="eastAsia"/>
        </w:rPr>
        <w:t>准确。客户和公司一起进行上线前评估，并在《上线评估报告》上进行签字确认。</w:t>
      </w:r>
      <w:proofErr w:type="gramStart"/>
      <w:r>
        <w:rPr>
          <w:rFonts w:hint="eastAsia"/>
          <w:sz w:val="21"/>
          <w:szCs w:val="21"/>
        </w:rPr>
        <w:t>做为</w:t>
      </w:r>
      <w:proofErr w:type="gramEnd"/>
      <w:r>
        <w:rPr>
          <w:rFonts w:hint="eastAsia"/>
          <w:sz w:val="21"/>
          <w:szCs w:val="21"/>
        </w:rPr>
        <w:t>上线前的最后一道关口，双方项目经理应充分重视，若不能完成此部分工作，双方项目经理均可不同意上线，客户在确认这一部分工作后，需履行合同承诺。</w:t>
      </w:r>
    </w:p>
    <w:p w:rsidR="00014D89" w:rsidRDefault="00014D89">
      <w:pPr>
        <w:pStyle w:val="ad"/>
        <w:spacing w:line="360" w:lineRule="auto"/>
        <w:ind w:leftChars="193" w:left="709" w:hangingChars="129" w:hanging="284"/>
        <w:rPr>
          <w:rFonts w:ascii="宋体" w:hAnsi="宋体" w:hint="eastAsia"/>
        </w:rPr>
      </w:pPr>
      <w:r>
        <w:t>3.7</w:t>
      </w:r>
      <w:r>
        <w:rPr>
          <w:rFonts w:ascii="宋体" w:hAnsi="宋体" w:hint="eastAsia"/>
        </w:rPr>
        <w:t>客户和公司一起制订《系统切换方案》，双方签字确认后按此有步骤的进行系统切换工作。</w:t>
      </w:r>
    </w:p>
    <w:p w:rsidR="00014D89" w:rsidRDefault="00014D89">
      <w:pPr>
        <w:pStyle w:val="ad"/>
        <w:spacing w:line="360" w:lineRule="auto"/>
        <w:ind w:leftChars="193" w:left="709" w:hangingChars="129" w:hanging="284"/>
        <w:rPr>
          <w:rFonts w:ascii="宋体" w:hAnsi="宋体" w:hint="eastAsia"/>
        </w:rPr>
      </w:pPr>
      <w:r>
        <w:t>3.8</w:t>
      </w:r>
      <w:r>
        <w:rPr>
          <w:rFonts w:ascii="宋体" w:hAnsi="宋体" w:hint="eastAsia"/>
        </w:rPr>
        <w:t>按双方约定，进行每期计划的验收工作，验收后由公司服务部继续为客户服务。具体见《验收报告》。</w:t>
      </w:r>
    </w:p>
    <w:p w:rsidR="00014D89" w:rsidRDefault="00014D89">
      <w:pPr>
        <w:pStyle w:val="ad"/>
        <w:spacing w:line="360" w:lineRule="auto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、明确系统集成要求</w:t>
      </w:r>
    </w:p>
    <w:p w:rsidR="00014D89" w:rsidRDefault="00014D89">
      <w:pPr>
        <w:pStyle w:val="ad"/>
        <w:spacing w:line="360" w:lineRule="auto"/>
        <w:ind w:leftChars="193" w:left="425" w:firstLineChars="193" w:firstLine="425"/>
        <w:rPr>
          <w:rFonts w:hint="eastAsia"/>
        </w:rPr>
      </w:pPr>
      <w:r>
        <w:rPr>
          <w:rFonts w:hint="eastAsia"/>
        </w:rPr>
        <w:t>为切实保证客户的网络系统安全稳定运行，凡涉及服务器及网络方面的问题，实施工程师及项目经理不得擅自处理。如果系统集成服务由本公司提供，则项目经理负责协调公司的网络部来处理。如果由第三方公司提供服务，则由客户自行与服务提供商联系解决，公司负责配合第三方公司来解决问题。</w:t>
      </w:r>
    </w:p>
    <w:p w:rsidR="00014D89" w:rsidRDefault="00014D89">
      <w:pPr>
        <w:pStyle w:val="ad"/>
        <w:spacing w:line="360" w:lineRule="auto"/>
        <w:ind w:leftChars="193" w:left="425" w:firstLineChars="202" w:firstLine="424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为考虑系统运行的安全性，我们强烈建议客户方有专业的防、杀毒系统。否则因此引起的相关后果，我公司概不负责。</w:t>
      </w:r>
    </w:p>
    <w:p w:rsidR="00014D89" w:rsidRDefault="00014D89">
      <w:pPr>
        <w:pStyle w:val="ad"/>
        <w:spacing w:line="360" w:lineRule="auto"/>
        <w:rPr>
          <w:rFonts w:ascii="宋体" w:hAnsi="宋体" w:hint="eastAsia"/>
        </w:rPr>
      </w:pPr>
    </w:p>
    <w:p w:rsidR="00014D89" w:rsidRDefault="00014D89">
      <w:pPr>
        <w:spacing w:before="100" w:beforeAutospacing="1" w:after="100" w:afterAutospacing="1"/>
        <w:ind w:leftChars="190" w:left="418"/>
        <w:rPr>
          <w:rFonts w:ascii="Arial" w:hAnsi="Arial" w:cs="Arial" w:hint="eastAsia"/>
          <w:snapToGrid w:val="0"/>
          <w:kern w:val="28"/>
          <w:szCs w:val="22"/>
          <w:u w:val="single"/>
        </w:rPr>
      </w:pPr>
      <w:r>
        <w:rPr>
          <w:rFonts w:ascii="Arial" w:hAnsi="Arial" w:cs="Arial" w:hint="eastAsia"/>
          <w:snapToGrid w:val="0"/>
          <w:kern w:val="28"/>
          <w:szCs w:val="22"/>
        </w:rPr>
        <w:t>客户方签字：</w:t>
      </w:r>
      <w:r>
        <w:rPr>
          <w:rFonts w:ascii="Arial" w:hAnsi="Arial" w:cs="Arial" w:hint="eastAsia"/>
          <w:snapToGrid w:val="0"/>
          <w:kern w:val="28"/>
          <w:szCs w:val="22"/>
          <w:u w:val="single"/>
        </w:rPr>
        <w:t xml:space="preserve">　　　　　　</w:t>
      </w:r>
      <w:r>
        <w:rPr>
          <w:rFonts w:ascii="Arial" w:hAnsi="Arial" w:cs="Arial" w:hint="eastAsia"/>
          <w:snapToGrid w:val="0"/>
          <w:kern w:val="28"/>
          <w:szCs w:val="22"/>
          <w:u w:val="single"/>
        </w:rPr>
        <w:t xml:space="preserve">       </w:t>
      </w:r>
      <w:r>
        <w:rPr>
          <w:rFonts w:ascii="Arial" w:hAnsi="Arial" w:cs="Arial" w:hint="eastAsia"/>
          <w:snapToGrid w:val="0"/>
          <w:kern w:val="28"/>
          <w:szCs w:val="22"/>
          <w:u w:val="single"/>
        </w:rPr>
        <w:t xml:space="preserve">　　</w:t>
      </w:r>
      <w:r>
        <w:rPr>
          <w:rFonts w:ascii="Arial" w:hAnsi="Arial" w:cs="Arial" w:hint="eastAsia"/>
          <w:snapToGrid w:val="0"/>
          <w:kern w:val="28"/>
          <w:szCs w:val="22"/>
          <w:u w:val="single"/>
        </w:rPr>
        <w:t xml:space="preserve">   </w:t>
      </w:r>
      <w:r>
        <w:rPr>
          <w:rFonts w:ascii="Arial" w:hAnsi="Arial" w:cs="Arial" w:hint="eastAsia"/>
          <w:snapToGrid w:val="0"/>
          <w:kern w:val="28"/>
          <w:szCs w:val="22"/>
        </w:rPr>
        <w:t xml:space="preserve">　　</w:t>
      </w:r>
      <w:r>
        <w:rPr>
          <w:rFonts w:ascii="Arial" w:hAnsi="Arial" w:cs="Arial" w:hint="eastAsia"/>
          <w:snapToGrid w:val="0"/>
          <w:kern w:val="28"/>
          <w:szCs w:val="22"/>
        </w:rPr>
        <w:t xml:space="preserve">                     </w:t>
      </w:r>
      <w:r>
        <w:rPr>
          <w:rFonts w:ascii="Arial" w:hAnsi="Arial" w:cs="Arial" w:hint="eastAsia"/>
          <w:snapToGrid w:val="0"/>
          <w:kern w:val="28"/>
          <w:szCs w:val="22"/>
        </w:rPr>
        <w:t>公司方签字：</w:t>
      </w:r>
      <w:r>
        <w:rPr>
          <w:rFonts w:ascii="Arial" w:hAnsi="Arial" w:cs="Arial" w:hint="eastAsia"/>
          <w:snapToGrid w:val="0"/>
          <w:kern w:val="28"/>
          <w:szCs w:val="22"/>
          <w:u w:val="single"/>
        </w:rPr>
        <w:t xml:space="preserve">                                       .      </w:t>
      </w:r>
    </w:p>
    <w:p w:rsidR="00014D89" w:rsidRDefault="00014D89">
      <w:pPr>
        <w:spacing w:before="100" w:beforeAutospacing="1" w:after="100" w:afterAutospacing="1"/>
        <w:ind w:leftChars="190" w:left="418"/>
        <w:rPr>
          <w:rFonts w:ascii="Arial" w:hAnsi="Arial" w:cs="Arial" w:hint="eastAsia"/>
          <w:snapToGrid w:val="0"/>
          <w:kern w:val="28"/>
          <w:szCs w:val="22"/>
        </w:rPr>
      </w:pPr>
      <w:r>
        <w:rPr>
          <w:rFonts w:ascii="Arial" w:hAnsi="Arial" w:cs="Arial" w:hint="eastAsia"/>
          <w:snapToGrid w:val="0"/>
          <w:kern w:val="28"/>
          <w:szCs w:val="22"/>
        </w:rPr>
        <w:t>日</w:t>
      </w:r>
      <w:r>
        <w:rPr>
          <w:rFonts w:ascii="Arial" w:hAnsi="Arial" w:cs="Arial" w:hint="eastAsia"/>
          <w:snapToGrid w:val="0"/>
          <w:kern w:val="28"/>
          <w:szCs w:val="22"/>
        </w:rPr>
        <w:t xml:space="preserve">           </w:t>
      </w:r>
      <w:r>
        <w:rPr>
          <w:rFonts w:ascii="Arial" w:hAnsi="Arial" w:cs="Arial" w:hint="eastAsia"/>
          <w:snapToGrid w:val="0"/>
          <w:kern w:val="28"/>
          <w:szCs w:val="22"/>
        </w:rPr>
        <w:t>期：</w:t>
      </w:r>
      <w:r>
        <w:rPr>
          <w:rFonts w:ascii="Arial" w:hAnsi="Arial" w:cs="Arial" w:hint="eastAsia"/>
          <w:snapToGrid w:val="0"/>
          <w:kern w:val="28"/>
          <w:szCs w:val="22"/>
          <w:u w:val="single"/>
        </w:rPr>
        <w:t xml:space="preserve">　</w:t>
      </w:r>
      <w:r>
        <w:rPr>
          <w:rFonts w:ascii="Arial" w:hAnsi="Arial" w:cs="Arial" w:hint="eastAsia"/>
          <w:snapToGrid w:val="0"/>
          <w:kern w:val="28"/>
          <w:szCs w:val="22"/>
          <w:u w:val="single"/>
        </w:rPr>
        <w:t xml:space="preserve"> </w:t>
      </w:r>
      <w:r>
        <w:rPr>
          <w:rFonts w:ascii="Arial" w:hAnsi="Arial" w:cs="Arial" w:hint="eastAsia"/>
          <w:snapToGrid w:val="0"/>
          <w:kern w:val="28"/>
          <w:szCs w:val="22"/>
          <w:u w:val="single"/>
        </w:rPr>
        <w:t xml:space="preserve">　　　　</w:t>
      </w:r>
      <w:r>
        <w:rPr>
          <w:rFonts w:ascii="Arial" w:hAnsi="Arial" w:cs="Arial" w:hint="eastAsia"/>
          <w:snapToGrid w:val="0"/>
          <w:kern w:val="28"/>
          <w:szCs w:val="22"/>
          <w:u w:val="single"/>
        </w:rPr>
        <w:t xml:space="preserve">   </w:t>
      </w:r>
      <w:r>
        <w:rPr>
          <w:rFonts w:ascii="Arial" w:hAnsi="Arial" w:cs="Arial" w:hint="eastAsia"/>
          <w:snapToGrid w:val="0"/>
          <w:kern w:val="28"/>
          <w:szCs w:val="22"/>
          <w:u w:val="single"/>
        </w:rPr>
        <w:t xml:space="preserve">　</w:t>
      </w:r>
      <w:r>
        <w:rPr>
          <w:rFonts w:ascii="Arial" w:hAnsi="Arial" w:cs="Arial" w:hint="eastAsia"/>
          <w:snapToGrid w:val="0"/>
          <w:kern w:val="28"/>
          <w:szCs w:val="22"/>
          <w:u w:val="single"/>
        </w:rPr>
        <w:t xml:space="preserve">      </w:t>
      </w:r>
      <w:r>
        <w:rPr>
          <w:rFonts w:ascii="Arial" w:hAnsi="Arial" w:cs="Arial" w:hint="eastAsia"/>
          <w:snapToGrid w:val="0"/>
          <w:kern w:val="28"/>
          <w:szCs w:val="22"/>
          <w:u w:val="single"/>
        </w:rPr>
        <w:t xml:space="preserve">　　</w:t>
      </w:r>
      <w:r>
        <w:rPr>
          <w:rFonts w:ascii="Arial" w:hAnsi="Arial" w:cs="Arial" w:hint="eastAsia"/>
          <w:snapToGrid w:val="0"/>
          <w:kern w:val="28"/>
          <w:szCs w:val="22"/>
        </w:rPr>
        <w:t xml:space="preserve">　　　　　　　</w:t>
      </w:r>
      <w:r>
        <w:rPr>
          <w:rFonts w:ascii="Arial" w:hAnsi="Arial" w:cs="Arial" w:hint="eastAsia"/>
          <w:snapToGrid w:val="0"/>
          <w:kern w:val="28"/>
          <w:szCs w:val="22"/>
        </w:rPr>
        <w:t xml:space="preserve">   </w:t>
      </w:r>
      <w:r>
        <w:rPr>
          <w:rFonts w:ascii="Arial" w:hAnsi="Arial" w:cs="Arial" w:hint="eastAsia"/>
          <w:snapToGrid w:val="0"/>
          <w:kern w:val="28"/>
          <w:szCs w:val="22"/>
        </w:rPr>
        <w:t>日</w:t>
      </w:r>
      <w:r>
        <w:rPr>
          <w:rFonts w:ascii="Arial" w:hAnsi="Arial" w:cs="Arial" w:hint="eastAsia"/>
          <w:snapToGrid w:val="0"/>
          <w:kern w:val="28"/>
          <w:szCs w:val="22"/>
        </w:rPr>
        <w:t xml:space="preserve">           </w:t>
      </w:r>
      <w:r>
        <w:rPr>
          <w:rFonts w:ascii="Arial" w:hAnsi="Arial" w:cs="Arial" w:hint="eastAsia"/>
          <w:snapToGrid w:val="0"/>
          <w:kern w:val="28"/>
          <w:szCs w:val="22"/>
        </w:rPr>
        <w:t>期：</w:t>
      </w:r>
      <w:r>
        <w:rPr>
          <w:rFonts w:ascii="Arial" w:hAnsi="Arial" w:cs="Arial" w:hint="eastAsia"/>
          <w:snapToGrid w:val="0"/>
          <w:kern w:val="28"/>
          <w:szCs w:val="22"/>
        </w:rPr>
        <w:t xml:space="preserve"> </w:t>
      </w:r>
      <w:r>
        <w:rPr>
          <w:rFonts w:ascii="Arial" w:hAnsi="Arial" w:cs="Arial" w:hint="eastAsia"/>
          <w:snapToGrid w:val="0"/>
          <w:kern w:val="28"/>
          <w:szCs w:val="22"/>
          <w:u w:val="single"/>
        </w:rPr>
        <w:t xml:space="preserve">                                     .      </w:t>
      </w:r>
    </w:p>
    <w:sectPr w:rsidR="00014D89">
      <w:headerReference w:type="default" r:id="rId7"/>
      <w:footerReference w:type="even" r:id="rId8"/>
      <w:footerReference w:type="default" r:id="rId9"/>
      <w:pgSz w:w="11909" w:h="16834"/>
      <w:pgMar w:top="1077" w:right="427" w:bottom="1077" w:left="992" w:header="62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19B0" w:rsidRDefault="00A419B0">
      <w:r>
        <w:separator/>
      </w:r>
    </w:p>
  </w:endnote>
  <w:endnote w:type="continuationSeparator" w:id="0">
    <w:p w:rsidR="00A419B0" w:rsidRDefault="00A41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Che">
    <w:altName w:val="BatangChe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黑体_GBK">
    <w:altName w:val="微软雅黑"/>
    <w:charset w:val="86"/>
    <w:family w:val="script"/>
    <w:pitch w:val="default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4D89" w:rsidRDefault="00014D89">
    <w:pPr>
      <w:pStyle w:val="ad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014D89" w:rsidRDefault="00014D89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4D89" w:rsidRDefault="00014D89">
    <w:pPr>
      <w:pStyle w:val="ad"/>
      <w:ind w:right="440" w:firstLineChars="1700" w:firstLine="3740"/>
    </w:pPr>
    <w:r>
      <w:rPr>
        <w:rFonts w:hint="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i1026" type="#_x0000_t75" style="width:125.25pt;height:30pt;mso-position-horizontal-relative:page;mso-position-vertical-relative:page">
          <v:imagedata r:id="rId1" o:title=""/>
        </v:shape>
      </w:pict>
    </w:r>
    <w:r>
      <w:rPr>
        <w:rFonts w:hint="eastAsia"/>
      </w:rPr>
      <w:t xml:space="preserve">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19B0" w:rsidRDefault="00A419B0">
      <w:r>
        <w:separator/>
      </w:r>
    </w:p>
  </w:footnote>
  <w:footnote w:type="continuationSeparator" w:id="0">
    <w:p w:rsidR="00A419B0" w:rsidRDefault="00A419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4D89" w:rsidRDefault="00014D89">
    <w:pPr>
      <w:pStyle w:val="ac"/>
      <w:tabs>
        <w:tab w:val="left" w:pos="8789"/>
        <w:tab w:val="left" w:pos="10348"/>
      </w:tabs>
      <w:ind w:right="1701"/>
      <w:rPr>
        <w:rFonts w:hint="eastAsia"/>
        <w:color w:val="000080"/>
      </w:rPr>
    </w:pPr>
    <w:r>
      <w:rPr>
        <w:rFonts w:hint="eastAsia"/>
        <w:color w:val="005F97"/>
        <w:sz w:val="21"/>
        <w:szCs w:val="21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25" type="#_x0000_t75" style="width:84.75pt;height:24.75pt;mso-position-horizontal-relative:page;mso-position-vertical-relative:page">
          <v:imagedata r:id="rId1" o:title="卫宁健康logo横排"/>
        </v:shape>
      </w:pict>
    </w:r>
    <w:r>
      <w:rPr>
        <w:rFonts w:hint="eastAsia"/>
        <w:color w:val="005F97"/>
        <w:sz w:val="21"/>
        <w:szCs w:val="21"/>
      </w:rPr>
      <w:t xml:space="preserve">                                                                                            </w:t>
    </w:r>
    <w:r>
      <w:rPr>
        <w:rFonts w:hint="eastAsia"/>
        <w:color w:val="000080"/>
      </w:rPr>
      <w:t>卫宁</w:t>
    </w:r>
    <w:r>
      <w:rPr>
        <w:rFonts w:hint="eastAsia"/>
        <w:color w:val="000080"/>
      </w:rPr>
      <w:t>ISO9000</w:t>
    </w:r>
    <w:r>
      <w:rPr>
        <w:rFonts w:hint="eastAsia"/>
        <w:color w:val="000080"/>
      </w:rPr>
      <w:t>质量文件</w:t>
    </w:r>
  </w:p>
  <w:p w:rsidR="00014D89" w:rsidRDefault="00014D89">
    <w:pPr>
      <w:pStyle w:val="ac"/>
      <w:tabs>
        <w:tab w:val="left" w:pos="9781"/>
      </w:tabs>
      <w:ind w:right="1540"/>
      <w:jc w:val="right"/>
      <w:rPr>
        <w:rFonts w:hint="eastAsia"/>
        <w:color w:val="000080"/>
      </w:rPr>
    </w:pPr>
    <w:r>
      <w:rPr>
        <w:rFonts w:ascii="方正黑体_GBK" w:eastAsia="方正黑体_GBK" w:hint="eastAsia"/>
        <w:color w:val="000080"/>
        <w:lang w:val="en-US" w:eastAsia="zh-CN"/>
      </w:rPr>
      <w:pict>
        <v:line id="直线 23" o:spid="_x0000_s2071" style="position:absolute;left:0;text-align:left;flip:x;z-index:1" from="-.55pt,14.15pt" to="503.45pt,14.15pt"/>
      </w:pict>
    </w:r>
    <w:r>
      <w:rPr>
        <w:rFonts w:ascii="方正黑体_GBK" w:eastAsia="方正黑体_GBK" w:hint="eastAsia"/>
        <w:color w:val="000080"/>
      </w:rPr>
      <w:t>合同编号：</w:t>
    </w:r>
    <w:r w:rsidR="00F519F9" w:rsidRPr="00D52EA8">
      <w:rPr>
        <w:rFonts w:ascii="方正黑体_GBK" w:eastAsia="方正黑体_GBK" w:hint="eastAsia"/>
        <w:color w:val="FF0000"/>
      </w:rPr>
      <w:t>变量1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67481"/>
    <w:multiLevelType w:val="multilevel"/>
    <w:tmpl w:val="23D67481"/>
    <w:lvl w:ilvl="0">
      <w:start w:val="1"/>
      <w:numFmt w:val="decimal"/>
      <w:lvlText w:val="%1、"/>
      <w:lvlJc w:val="left"/>
      <w:pPr>
        <w:ind w:left="420" w:hanging="420"/>
      </w:pPr>
      <w:rPr>
        <w:rFonts w:ascii="Book Antiqua" w:eastAsia="BatangChe" w:hAnsi="Book Antiqua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EC7CC3"/>
    <w:multiLevelType w:val="singleLevel"/>
    <w:tmpl w:val="3CEC7CC3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" w15:restartNumberingAfterBreak="0">
    <w:nsid w:val="722C5088"/>
    <w:multiLevelType w:val="multilevel"/>
    <w:tmpl w:val="722C5088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4372"/>
    <w:rsid w:val="00001A72"/>
    <w:rsid w:val="00005E58"/>
    <w:rsid w:val="00014D89"/>
    <w:rsid w:val="000330C4"/>
    <w:rsid w:val="000415D6"/>
    <w:rsid w:val="000674D9"/>
    <w:rsid w:val="00071FAD"/>
    <w:rsid w:val="000757F0"/>
    <w:rsid w:val="000762FB"/>
    <w:rsid w:val="00082EB4"/>
    <w:rsid w:val="000A48BC"/>
    <w:rsid w:val="000A4A9F"/>
    <w:rsid w:val="000D53D8"/>
    <w:rsid w:val="000F1AF3"/>
    <w:rsid w:val="000F3292"/>
    <w:rsid w:val="000F4490"/>
    <w:rsid w:val="0010566B"/>
    <w:rsid w:val="00107B71"/>
    <w:rsid w:val="001131C5"/>
    <w:rsid w:val="001334CC"/>
    <w:rsid w:val="00137791"/>
    <w:rsid w:val="00143FC2"/>
    <w:rsid w:val="00151A2C"/>
    <w:rsid w:val="00155625"/>
    <w:rsid w:val="00162A96"/>
    <w:rsid w:val="00187C17"/>
    <w:rsid w:val="001906D4"/>
    <w:rsid w:val="001A4DDB"/>
    <w:rsid w:val="001B7AEC"/>
    <w:rsid w:val="001B7D91"/>
    <w:rsid w:val="001D3142"/>
    <w:rsid w:val="001D4474"/>
    <w:rsid w:val="001E2D3B"/>
    <w:rsid w:val="001E57B0"/>
    <w:rsid w:val="001F6B7E"/>
    <w:rsid w:val="001F79F1"/>
    <w:rsid w:val="002029E2"/>
    <w:rsid w:val="00205787"/>
    <w:rsid w:val="0020642B"/>
    <w:rsid w:val="002076C9"/>
    <w:rsid w:val="00233A5A"/>
    <w:rsid w:val="0023713B"/>
    <w:rsid w:val="002417FE"/>
    <w:rsid w:val="00244967"/>
    <w:rsid w:val="002938E6"/>
    <w:rsid w:val="002C7EDA"/>
    <w:rsid w:val="002D038B"/>
    <w:rsid w:val="002D4E1F"/>
    <w:rsid w:val="002F2034"/>
    <w:rsid w:val="00305EF9"/>
    <w:rsid w:val="00306CB8"/>
    <w:rsid w:val="003121BE"/>
    <w:rsid w:val="00322A1E"/>
    <w:rsid w:val="00325E74"/>
    <w:rsid w:val="003312AC"/>
    <w:rsid w:val="003472AC"/>
    <w:rsid w:val="00351E55"/>
    <w:rsid w:val="00352DE0"/>
    <w:rsid w:val="00377ABF"/>
    <w:rsid w:val="003858DC"/>
    <w:rsid w:val="00397348"/>
    <w:rsid w:val="00397C2B"/>
    <w:rsid w:val="003A541A"/>
    <w:rsid w:val="003C4899"/>
    <w:rsid w:val="003D2FF4"/>
    <w:rsid w:val="003D3C0D"/>
    <w:rsid w:val="003E284D"/>
    <w:rsid w:val="00403818"/>
    <w:rsid w:val="00410615"/>
    <w:rsid w:val="0041398A"/>
    <w:rsid w:val="00415504"/>
    <w:rsid w:val="004253A1"/>
    <w:rsid w:val="0043712F"/>
    <w:rsid w:val="00451208"/>
    <w:rsid w:val="0046537B"/>
    <w:rsid w:val="004660A5"/>
    <w:rsid w:val="00476649"/>
    <w:rsid w:val="004775E4"/>
    <w:rsid w:val="004814DD"/>
    <w:rsid w:val="004C4BF8"/>
    <w:rsid w:val="004D3759"/>
    <w:rsid w:val="004D6E2A"/>
    <w:rsid w:val="004E15A7"/>
    <w:rsid w:val="004E657D"/>
    <w:rsid w:val="004E7601"/>
    <w:rsid w:val="00524996"/>
    <w:rsid w:val="005325CC"/>
    <w:rsid w:val="0053447E"/>
    <w:rsid w:val="005373D3"/>
    <w:rsid w:val="00547090"/>
    <w:rsid w:val="005755FC"/>
    <w:rsid w:val="00596D45"/>
    <w:rsid w:val="00596DA9"/>
    <w:rsid w:val="005A4AA7"/>
    <w:rsid w:val="005C0F8F"/>
    <w:rsid w:val="005D49AA"/>
    <w:rsid w:val="005F548A"/>
    <w:rsid w:val="006027AF"/>
    <w:rsid w:val="00617094"/>
    <w:rsid w:val="00636D68"/>
    <w:rsid w:val="00645AC5"/>
    <w:rsid w:val="00656799"/>
    <w:rsid w:val="00662A8C"/>
    <w:rsid w:val="00670B5D"/>
    <w:rsid w:val="006B2150"/>
    <w:rsid w:val="006E6F98"/>
    <w:rsid w:val="00705962"/>
    <w:rsid w:val="00710C35"/>
    <w:rsid w:val="007241EB"/>
    <w:rsid w:val="00734CF2"/>
    <w:rsid w:val="00747365"/>
    <w:rsid w:val="007932CC"/>
    <w:rsid w:val="007A11EE"/>
    <w:rsid w:val="007B0B34"/>
    <w:rsid w:val="007B29C7"/>
    <w:rsid w:val="007B5856"/>
    <w:rsid w:val="007C3126"/>
    <w:rsid w:val="007F0207"/>
    <w:rsid w:val="007F3A3E"/>
    <w:rsid w:val="007F64B7"/>
    <w:rsid w:val="007F7E3E"/>
    <w:rsid w:val="00817339"/>
    <w:rsid w:val="0082416D"/>
    <w:rsid w:val="008806AD"/>
    <w:rsid w:val="008B56C1"/>
    <w:rsid w:val="008C5176"/>
    <w:rsid w:val="008C7921"/>
    <w:rsid w:val="008D7123"/>
    <w:rsid w:val="008E0CE5"/>
    <w:rsid w:val="00921E3A"/>
    <w:rsid w:val="00936869"/>
    <w:rsid w:val="00944F17"/>
    <w:rsid w:val="00946A44"/>
    <w:rsid w:val="0094702B"/>
    <w:rsid w:val="009555DD"/>
    <w:rsid w:val="00971E3F"/>
    <w:rsid w:val="009800F5"/>
    <w:rsid w:val="009A55A0"/>
    <w:rsid w:val="009D3EA0"/>
    <w:rsid w:val="009D3FF6"/>
    <w:rsid w:val="00A14F97"/>
    <w:rsid w:val="00A301EC"/>
    <w:rsid w:val="00A318BD"/>
    <w:rsid w:val="00A34072"/>
    <w:rsid w:val="00A419B0"/>
    <w:rsid w:val="00A51E29"/>
    <w:rsid w:val="00A65011"/>
    <w:rsid w:val="00A668B0"/>
    <w:rsid w:val="00A75458"/>
    <w:rsid w:val="00A83EB3"/>
    <w:rsid w:val="00A85356"/>
    <w:rsid w:val="00A90F1C"/>
    <w:rsid w:val="00AB29A4"/>
    <w:rsid w:val="00AF4AEE"/>
    <w:rsid w:val="00AF55FE"/>
    <w:rsid w:val="00B02FD3"/>
    <w:rsid w:val="00B21F37"/>
    <w:rsid w:val="00B25951"/>
    <w:rsid w:val="00B33830"/>
    <w:rsid w:val="00B34ADF"/>
    <w:rsid w:val="00B35890"/>
    <w:rsid w:val="00B41020"/>
    <w:rsid w:val="00B53031"/>
    <w:rsid w:val="00B76C69"/>
    <w:rsid w:val="00B8742F"/>
    <w:rsid w:val="00B91E49"/>
    <w:rsid w:val="00BA4194"/>
    <w:rsid w:val="00BA67CF"/>
    <w:rsid w:val="00BA6844"/>
    <w:rsid w:val="00BB7E35"/>
    <w:rsid w:val="00BD5999"/>
    <w:rsid w:val="00BD77A7"/>
    <w:rsid w:val="00BE5981"/>
    <w:rsid w:val="00C04503"/>
    <w:rsid w:val="00C10E9D"/>
    <w:rsid w:val="00C25EE7"/>
    <w:rsid w:val="00C31A6F"/>
    <w:rsid w:val="00C31BC5"/>
    <w:rsid w:val="00C43C56"/>
    <w:rsid w:val="00C86359"/>
    <w:rsid w:val="00CB239A"/>
    <w:rsid w:val="00CB7DA6"/>
    <w:rsid w:val="00CC57E7"/>
    <w:rsid w:val="00CE5474"/>
    <w:rsid w:val="00D3045D"/>
    <w:rsid w:val="00D31E8B"/>
    <w:rsid w:val="00D345DF"/>
    <w:rsid w:val="00D52EA8"/>
    <w:rsid w:val="00D57339"/>
    <w:rsid w:val="00D60122"/>
    <w:rsid w:val="00D85FBF"/>
    <w:rsid w:val="00D86A2F"/>
    <w:rsid w:val="00D878C1"/>
    <w:rsid w:val="00DA3BF5"/>
    <w:rsid w:val="00DB12C2"/>
    <w:rsid w:val="00DF1EB5"/>
    <w:rsid w:val="00DF722F"/>
    <w:rsid w:val="00E04CDD"/>
    <w:rsid w:val="00E13C9C"/>
    <w:rsid w:val="00E1728D"/>
    <w:rsid w:val="00E25738"/>
    <w:rsid w:val="00E54C48"/>
    <w:rsid w:val="00E64B5D"/>
    <w:rsid w:val="00E66BB6"/>
    <w:rsid w:val="00E71C47"/>
    <w:rsid w:val="00E86866"/>
    <w:rsid w:val="00EC271D"/>
    <w:rsid w:val="00EC3F64"/>
    <w:rsid w:val="00ED4372"/>
    <w:rsid w:val="00EE1F76"/>
    <w:rsid w:val="00EE6604"/>
    <w:rsid w:val="00F00D2D"/>
    <w:rsid w:val="00F04CB1"/>
    <w:rsid w:val="00F07295"/>
    <w:rsid w:val="00F10F65"/>
    <w:rsid w:val="00F267ED"/>
    <w:rsid w:val="00F35F8C"/>
    <w:rsid w:val="00F40D10"/>
    <w:rsid w:val="00F519F9"/>
    <w:rsid w:val="00F83A4F"/>
    <w:rsid w:val="00F92B07"/>
    <w:rsid w:val="00F93CED"/>
    <w:rsid w:val="00FB4512"/>
    <w:rsid w:val="00FB4FC0"/>
    <w:rsid w:val="00FC2CD8"/>
    <w:rsid w:val="00FC5391"/>
    <w:rsid w:val="00FE3E28"/>
    <w:rsid w:val="00FE4590"/>
    <w:rsid w:val="00FF5D2A"/>
    <w:rsid w:val="02AC2022"/>
    <w:rsid w:val="709A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2"/>
    <o:shapelayout v:ext="edit">
      <o:idmap v:ext="edit" data="1"/>
    </o:shapelayout>
  </w:shapeDefaults>
  <w:decimalSymbol w:val="."/>
  <w:listSeparator w:val=","/>
  <w15:chartTrackingRefBased/>
  <w15:docId w15:val="{48BA2516-4DE9-4E45-BFE4-4F8630000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annotation text" w:semiHidden="1"/>
    <w:lsdException w:name="caption" w:qFormat="1"/>
    <w:lsdException w:name="table of figures" w:semiHidden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Book Antiqua" w:hAnsi="Book Antiqua"/>
      <w:sz w:val="22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2">
    <w:name w:val="heading 2"/>
    <w:basedOn w:val="a"/>
    <w:next w:val="a"/>
    <w:qFormat/>
    <w:pPr>
      <w:keepNext/>
      <w:numPr>
        <w:numId w:val="1"/>
      </w:numPr>
      <w:tabs>
        <w:tab w:val="left" w:pos="425"/>
      </w:tabs>
      <w:spacing w:before="240" w:after="60"/>
      <w:outlineLvl w:val="1"/>
    </w:pPr>
    <w:rPr>
      <w:b/>
      <w:i/>
      <w:sz w:val="24"/>
      <w:lang w:val="en-US" w:eastAsia="zh-CN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sz w:val="24"/>
    </w:rPr>
  </w:style>
  <w:style w:type="paragraph" w:styleId="5">
    <w:name w:val="heading 5"/>
    <w:basedOn w:val="a"/>
    <w:next w:val="a"/>
    <w:qFormat/>
    <w:pPr>
      <w:keepNext/>
      <w:overflowPunct w:val="0"/>
      <w:autoSpaceDE w:val="0"/>
      <w:autoSpaceDN w:val="0"/>
      <w:adjustRightInd w:val="0"/>
      <w:textAlignment w:val="baseline"/>
      <w:outlineLvl w:val="4"/>
    </w:pPr>
    <w:rPr>
      <w:rFonts w:ascii="Times New Roman" w:eastAsia="PMingLiU" w:hAnsi="Times New Roman"/>
      <w:b/>
      <w:snapToGrid w:val="0"/>
      <w:sz w:val="24"/>
      <w:u w:val="single"/>
      <w:lang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character" w:styleId="a5">
    <w:name w:val="FollowedHyperlink"/>
    <w:rPr>
      <w:color w:val="800080"/>
      <w:u w:val="single"/>
    </w:rPr>
  </w:style>
  <w:style w:type="character" w:styleId="a6">
    <w:name w:val="annotation reference"/>
    <w:semiHidden/>
    <w:rPr>
      <w:sz w:val="21"/>
      <w:szCs w:val="21"/>
    </w:rPr>
  </w:style>
  <w:style w:type="paragraph" w:styleId="9">
    <w:name w:val="目录 9"/>
    <w:basedOn w:val="a"/>
    <w:next w:val="a"/>
    <w:semiHidden/>
    <w:pPr>
      <w:ind w:left="1760"/>
    </w:pPr>
    <w:rPr>
      <w:rFonts w:ascii="Times New Roman" w:hAnsi="Times New Roman"/>
      <w:sz w:val="18"/>
    </w:rPr>
  </w:style>
  <w:style w:type="paragraph" w:styleId="50">
    <w:name w:val="目录 5"/>
    <w:basedOn w:val="a"/>
    <w:next w:val="a"/>
    <w:semiHidden/>
    <w:pPr>
      <w:ind w:left="880"/>
    </w:pPr>
    <w:rPr>
      <w:rFonts w:ascii="Times New Roman" w:hAnsi="Times New Roman"/>
      <w:sz w:val="18"/>
    </w:rPr>
  </w:style>
  <w:style w:type="paragraph" w:styleId="10">
    <w:name w:val="目录 1"/>
    <w:basedOn w:val="a"/>
    <w:next w:val="a"/>
    <w:semiHidden/>
    <w:pPr>
      <w:spacing w:before="120" w:after="120"/>
    </w:pPr>
    <w:rPr>
      <w:rFonts w:ascii="Times New Roman" w:hAnsi="Times New Roman"/>
      <w:b/>
      <w:caps/>
      <w:sz w:val="20"/>
    </w:rPr>
  </w:style>
  <w:style w:type="paragraph" w:styleId="a7">
    <w:name w:val="Balloon Text"/>
    <w:basedOn w:val="a"/>
    <w:semiHidden/>
    <w:rPr>
      <w:sz w:val="18"/>
      <w:szCs w:val="18"/>
    </w:rPr>
  </w:style>
  <w:style w:type="paragraph" w:styleId="a8">
    <w:name w:val="Plain Text"/>
    <w:basedOn w:val="a"/>
    <w:pPr>
      <w:widowControl w:val="0"/>
      <w:jc w:val="both"/>
    </w:pPr>
    <w:rPr>
      <w:rFonts w:ascii="宋体" w:hAnsi="Courier New" w:cs="Courier New"/>
      <w:kern w:val="2"/>
      <w:sz w:val="21"/>
      <w:szCs w:val="21"/>
    </w:rPr>
  </w:style>
  <w:style w:type="paragraph" w:styleId="a9">
    <w:name w:val="annotation text"/>
    <w:basedOn w:val="a"/>
    <w:semiHidden/>
    <w:rPr>
      <w:rFonts w:eastAsia="PMingLiU"/>
      <w:sz w:val="20"/>
      <w:lang w:eastAsia="zh-TW"/>
    </w:rPr>
  </w:style>
  <w:style w:type="paragraph" w:styleId="20">
    <w:name w:val="目录 2"/>
    <w:basedOn w:val="a"/>
    <w:next w:val="a"/>
    <w:semiHidden/>
    <w:pPr>
      <w:ind w:left="220"/>
    </w:pPr>
    <w:rPr>
      <w:rFonts w:ascii="Times New Roman" w:hAnsi="Times New Roman"/>
      <w:smallCaps/>
      <w:sz w:val="20"/>
    </w:rPr>
  </w:style>
  <w:style w:type="paragraph" w:styleId="aa">
    <w:name w:val="caption"/>
    <w:basedOn w:val="a"/>
    <w:next w:val="a"/>
    <w:qFormat/>
    <w:pPr>
      <w:spacing w:before="120" w:after="120"/>
    </w:pPr>
    <w:rPr>
      <w:b/>
      <w:bCs/>
      <w:sz w:val="20"/>
    </w:rPr>
  </w:style>
  <w:style w:type="paragraph" w:styleId="7">
    <w:name w:val="目录 7"/>
    <w:basedOn w:val="a"/>
    <w:next w:val="a"/>
    <w:semiHidden/>
    <w:pPr>
      <w:ind w:left="1320"/>
    </w:pPr>
    <w:rPr>
      <w:rFonts w:ascii="Times New Roman" w:hAnsi="Times New Roman"/>
      <w:sz w:val="18"/>
    </w:rPr>
  </w:style>
  <w:style w:type="paragraph" w:styleId="ab">
    <w:name w:val="annotation subject"/>
    <w:basedOn w:val="a9"/>
    <w:next w:val="a9"/>
    <w:semiHidden/>
    <w:rPr>
      <w:rFonts w:eastAsia="宋体"/>
      <w:b/>
      <w:bCs/>
      <w:sz w:val="22"/>
      <w:lang w:eastAsia="zh-CN"/>
    </w:rPr>
  </w:style>
  <w:style w:type="paragraph" w:styleId="4">
    <w:name w:val="目录 4"/>
    <w:basedOn w:val="a"/>
    <w:next w:val="a"/>
    <w:semiHidden/>
    <w:pPr>
      <w:ind w:left="660"/>
    </w:pPr>
    <w:rPr>
      <w:rFonts w:ascii="Times New Roman" w:hAnsi="Times New Roman"/>
      <w:sz w:val="18"/>
    </w:rPr>
  </w:style>
  <w:style w:type="paragraph" w:styleId="8">
    <w:name w:val="目录 8"/>
    <w:basedOn w:val="a"/>
    <w:next w:val="a"/>
    <w:semiHidden/>
    <w:pPr>
      <w:ind w:left="1540"/>
    </w:pPr>
    <w:rPr>
      <w:rFonts w:ascii="Times New Roman" w:hAnsi="Times New Roman"/>
      <w:sz w:val="18"/>
    </w:rPr>
  </w:style>
  <w:style w:type="paragraph" w:styleId="30">
    <w:name w:val="目录 3"/>
    <w:basedOn w:val="a"/>
    <w:next w:val="a"/>
    <w:semiHidden/>
    <w:pPr>
      <w:ind w:left="440"/>
    </w:pPr>
    <w:rPr>
      <w:rFonts w:ascii="Times New Roman" w:hAnsi="Times New Roman"/>
      <w:i/>
      <w:sz w:val="20"/>
    </w:rPr>
  </w:style>
  <w:style w:type="paragraph" w:styleId="ac">
    <w:name w:val="header"/>
    <w:basedOn w:val="a"/>
    <w:pPr>
      <w:tabs>
        <w:tab w:val="center" w:pos="4320"/>
        <w:tab w:val="right" w:pos="8640"/>
      </w:tabs>
    </w:pPr>
  </w:style>
  <w:style w:type="paragraph" w:styleId="ad">
    <w:name w:val="footer"/>
    <w:basedOn w:val="a"/>
    <w:pPr>
      <w:tabs>
        <w:tab w:val="center" w:pos="4320"/>
        <w:tab w:val="right" w:pos="8640"/>
      </w:tabs>
    </w:pPr>
  </w:style>
  <w:style w:type="paragraph" w:styleId="ae">
    <w:name w:val="table of figures"/>
    <w:basedOn w:val="a"/>
    <w:next w:val="a"/>
    <w:semiHidden/>
    <w:pPr>
      <w:ind w:left="440" w:hanging="440"/>
    </w:pPr>
  </w:style>
  <w:style w:type="paragraph" w:styleId="6">
    <w:name w:val="目录 6"/>
    <w:basedOn w:val="a"/>
    <w:next w:val="a"/>
    <w:semiHidden/>
    <w:pPr>
      <w:ind w:left="1100"/>
    </w:pPr>
    <w:rPr>
      <w:rFonts w:ascii="Times New Roman" w:hAnsi="Times New Roman"/>
      <w:sz w:val="18"/>
    </w:rPr>
  </w:style>
  <w:style w:type="paragraph" w:customStyle="1" w:styleId="ABLOCKPARA">
    <w:name w:val="A BLOCK PARA"/>
    <w:basedOn w:val="a"/>
  </w:style>
  <w:style w:type="paragraph" w:customStyle="1" w:styleId="AINDENTEDPARA">
    <w:name w:val="A INDENTED PARA"/>
    <w:basedOn w:val="ABLOCKPARA"/>
    <w:pPr>
      <w:ind w:left="331"/>
    </w:pPr>
  </w:style>
  <w:style w:type="paragraph" w:customStyle="1" w:styleId="ABULLET">
    <w:name w:val="A BULLET"/>
    <w:basedOn w:val="ABLOCKPARA"/>
    <w:pPr>
      <w:ind w:left="331" w:hanging="331"/>
    </w:pPr>
  </w:style>
  <w:style w:type="paragraph" w:customStyle="1" w:styleId="AINDENTEDBULLET">
    <w:name w:val="A INDENTED BULLET"/>
    <w:basedOn w:val="ABLOCKPARA"/>
    <w:pPr>
      <w:tabs>
        <w:tab w:val="left" w:pos="1080"/>
      </w:tabs>
      <w:ind w:left="662" w:hanging="331"/>
    </w:pPr>
  </w:style>
  <w:style w:type="paragraph" w:customStyle="1" w:styleId="p0">
    <w:name w:val="p0"/>
    <w:basedOn w:val="a"/>
    <w:pPr>
      <w:jc w:val="both"/>
    </w:pPr>
    <w:rPr>
      <w:rFonts w:ascii="Times New Roman" w:hAnsi="Times New Roman"/>
      <w:sz w:val="21"/>
      <w:szCs w:val="21"/>
    </w:rPr>
  </w:style>
  <w:style w:type="paragraph" w:customStyle="1" w:styleId="CommentSubject">
    <w:name w:val="Comment Subject"/>
    <w:basedOn w:val="a9"/>
    <w:next w:val="a9"/>
    <w:semiHidden/>
    <w:rPr>
      <w:rFonts w:eastAsia="宋体"/>
      <w:b/>
      <w:bCs/>
      <w:sz w:val="22"/>
      <w:lang w:eastAsia="zh-CN"/>
    </w:rPr>
  </w:style>
  <w:style w:type="paragraph" w:customStyle="1" w:styleId="BalloonText">
    <w:name w:val="Balloon Text"/>
    <w:basedOn w:val="a"/>
    <w:semiHidden/>
    <w:rPr>
      <w:sz w:val="18"/>
      <w:szCs w:val="18"/>
    </w:rPr>
  </w:style>
  <w:style w:type="table" w:styleId="af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0">
    <w:name w:val="Table Professional"/>
    <w:basedOn w:val="a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lims\LIMS&#39033;&#30446;&#31649;&#29702;\LIMS&#39033;&#30446;&#31649;&#29702;\&#21608;&#24037;&#20316;&#25253;&#2157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周工作报告.dot</Template>
  <TotalTime>1</TotalTime>
  <Pages>2</Pages>
  <Words>252</Words>
  <Characters>1442</Characters>
  <Application>Microsoft Office Word</Application>
  <DocSecurity>0</DocSecurity>
  <Lines>12</Lines>
  <Paragraphs>3</Paragraphs>
  <ScaleCrop>false</ScaleCrop>
  <Company>KingStar Winning</Company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金仕达卫宁项目启动会会议记录</dc:title>
  <dc:subject/>
  <dc:creator>孙超仁</dc:creator>
  <cp:keywords>Normal, Templates</cp:keywords>
  <dc:description/>
  <cp:lastModifiedBy>Lex Wang</cp:lastModifiedBy>
  <cp:revision>2</cp:revision>
  <cp:lastPrinted>2001-11-13T01:34:00Z</cp:lastPrinted>
  <dcterms:created xsi:type="dcterms:W3CDTF">2019-11-18T06:16:00Z</dcterms:created>
  <dcterms:modified xsi:type="dcterms:W3CDTF">2019-11-18T06:16:00Z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