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Arial" w:eastAsia="Microsoft YaHei" w:hAnsi="Arial"/>
          <w:b/>
          <w:bCs/>
          <w:sz w:val="40"/>
          <w:szCs w:val="40"/>
        </w:rPr>
        <w:t xml:space="preserve">夜间灯光数据GNN填补方法优化方案</w:t>
      </w:r>
    </w:p>
    <w:p>
      <w:pPr>
        <w:spacing w:after="480"/>
        <w:jc w:val="center"/>
      </w:pPr>
      <w:r>
        <w:rPr>
          <w:rFonts w:ascii="Arial" w:eastAsia="Microsoft YaHei" w:hAnsi="Arial"/>
          <w:i/>
          <w:iCs/>
          <w:sz w:val="20"/>
          <w:szCs w:val="20"/>
        </w:rPr>
        <w:t xml:space="preserve">基于IJDE论文《Gap-filling method based on GNNs considering spatiotemporal anisotropic geometric relationship》</w:t>
      </w:r>
    </w:p>
    <w:p>
      <w:pPr>
        <w:pStyle w:val="Heading1"/>
      </w:pPr>
      <w:r>
        <w:t xml:space="preserve">一、论文核心方法总结</w:t>
      </w:r>
    </w:p>
    <w:p>
      <w:pPr>
        <w:spacing w:after="200"/>
      </w:pPr>
      <w:r>
        <w:rPr>
          <w:rFonts w:ascii="Arial" w:eastAsia="Microsoft YaHei" w:hAnsi="Arial"/>
        </w:rPr>
        <w:t xml:space="preserve">论文提出了一种基于图神经网络（GNN）的夜间灯光数据缺失值填补方法，主要包含以下核心模块：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核心设计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关键参数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图构建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时空立方体 + 3D Bresenham算法构建树状有向图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固定36节点，六区域均匀分配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节点选择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按欧氏距离排序，循环分配至6个四角锥区域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初始窗口r=4，自适应扩展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边属性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3D时空偏移量（Δt, Δx, Δy）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归一化至[-1,1]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GNN架构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GATv2（三层）+ 动态注意力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处理节点特征与边属性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损失函数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log-cosh + 最大损失正则化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L = mean + max/batch_size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二、问题1：自适应/动态图构建机制</w:t>
      </w:r>
    </w:p>
    <w:p>
      <w:pPr>
        <w:pStyle w:val="Heading2"/>
      </w:pPr>
      <w:r>
        <w:t xml:space="preserve">2.1 可行性分析</w:t>
      </w:r>
    </w:p>
    <w:p>
      <w:pPr>
        <w:spacing w:after="120"/>
      </w:pPr>
      <w:r>
        <w:rPr>
          <w:rFonts w:ascii="Arial" w:eastAsia="Microsoft YaHei" w:hAnsi="Arial"/>
          <w:b/>
          <w:bCs/>
        </w:rPr>
        <w:t xml:space="preserve">当前方法局限性：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固定节点数（36）：论文实验表明32节点最优，但固定数量无法适应不同场景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静态连边策略：基于Bresenham的树状结构固定，未考虑实际数据质量分布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冗余节点问题：论文提到"excessive model complexity"会导致性能下降</w:t>
      </w:r>
    </w:p>
    <w:p>
      <w:pPr>
        <w:spacing w:after="200" w:before="200"/>
      </w:pPr>
      <w:r>
        <w:rPr>
          <w:rFonts w:ascii="Arial" w:eastAsia="Microsoft YaHei" w:hAnsi="Arial"/>
          <w:b/>
          <w:bCs/>
          <w:color w:val="2B6CB0"/>
        </w:rPr>
        <w:t xml:space="preserve">可行性判断：✅ 高度可行</w:t>
      </w:r>
    </w:p>
    <w:p>
      <w:pPr>
        <w:pStyle w:val="Heading2"/>
      </w:pPr>
      <w:r>
        <w:t xml:space="preserve">2.2 具体方案</w:t>
      </w:r>
    </w:p>
    <w:p>
      <w:pPr>
        <w:pStyle w:val="Heading3"/>
      </w:pPr>
      <w:r>
        <w:t xml:space="preserve">方案A：数据质量驱动的自适应节点数</w:t>
      </w:r>
    </w:p>
    <w:p>
      <w:pPr>
        <w:spacing w:after="120"/>
      </w:pPr>
      <w:r>
        <w:rPr>
          <w:rFonts w:ascii="Arial" w:eastAsia="Microsoft YaHei" w:hAnsi="Arial"/>
          <w:b/>
          <w:bCs/>
        </w:rPr>
        <w:t xml:space="preserve">算法逻辑：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计算局部数据质量指标：有效像素密度ρ、空间连续性S、时序稳定性T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自适应节点数计算：N_dynamic = N_base × f(ρ, S, T)，其中f(·)为质量响应函数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区域配额动态调整：根据各区域有效像素比例重新分配节点配额</w:t>
      </w:r>
    </w:p>
    <w:p>
      <w:pPr>
        <w:spacing w:after="200" w:before="120"/>
      </w:pPr>
      <w:r>
        <w:rPr>
          <w:rFonts w:ascii="Arial" w:eastAsia="Microsoft YaHei" w:hAnsi="Arial"/>
          <w:b/>
          <w:bCs/>
          <w:color w:val="2B6CB0"/>
        </w:rPr>
        <w:t xml:space="preserve">预期收益：MAE降低5-10%</w:t>
      </w:r>
    </w:p>
    <w:p>
      <w:pPr>
        <w:pStyle w:val="Heading3"/>
      </w:pPr>
      <w:r>
        <w:t xml:space="preserve">方案B：空间异质性感知的动态连边</w:t>
      </w:r>
    </w:p>
    <w:p>
      <w:pPr>
        <w:spacing w:after="120"/>
      </w:pPr>
      <w:r>
        <w:rPr>
          <w:rFonts w:ascii="Arial" w:eastAsia="Microsoft YaHei" w:hAnsi="Arial"/>
        </w:rPr>
        <w:t xml:space="preserve">核心思想：城市核心区与边缘区的空间相关性模式不同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计算空间异质性指数：H = std(NTL_values) / mean(NTL_values)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高异质性区域：增加空间维度权重，连边更倾向于空间近邻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低异质性区域：增加时序维度权重，连边更倾向于时序近邻</w:t>
      </w:r>
    </w:p>
    <w:p>
      <w:pPr>
        <w:spacing w:after="200" w:before="120"/>
      </w:pPr>
      <w:r>
        <w:rPr>
          <w:rFonts w:ascii="Arial" w:eastAsia="Microsoft YaHei" w:hAnsi="Arial"/>
          <w:b/>
          <w:bCs/>
          <w:color w:val="2B6CB0"/>
        </w:rPr>
        <w:t xml:space="preserve">预期收益：R²提升2-3%</w:t>
      </w:r>
    </w:p>
    <w:p>
      <w:pPr>
        <w:pStyle w:val="Heading3"/>
      </w:pPr>
      <w:r>
        <w:t xml:space="preserve">方案C：注意力学习的图结构优化</w:t>
      </w:r>
    </w:p>
    <w:p>
      <w:pPr>
        <w:spacing w:after="120"/>
      </w:pPr>
      <w:r>
        <w:rPr>
          <w:rFonts w:ascii="Arial" w:eastAsia="Microsoft YaHei" w:hAnsi="Arial"/>
        </w:rPr>
        <w:t xml:space="preserve">核心思想：让模型学习最优图结构，而非固定Bresenham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初始图构建：保留当前方法，但增加候选节点池（如64个）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可学习节点选择层：scores = MLP(concat(node_features, edge_attributes))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边权重学习：edge_importance = Attention_Edge(node_i, node_j, edge_attr)</w:t>
      </w:r>
    </w:p>
    <w:p>
      <w:pPr>
        <w:spacing w:after="200" w:before="120"/>
      </w:pPr>
      <w:r>
        <w:rPr>
          <w:rFonts w:ascii="Arial" w:eastAsia="Microsoft YaHei" w:hAnsi="Arial"/>
          <w:b/>
          <w:bCs/>
          <w:color w:val="2B6CB0"/>
        </w:rPr>
        <w:t xml:space="preserve">预期收益：整体性能提升3-5%</w:t>
      </w:r>
    </w:p>
    <w:p>
      <w:pPr>
        <w:pStyle w:val="Heading1"/>
      </w:pPr>
      <w:r>
        <w:t xml:space="preserve">三、问题2：模型层面优化路径</w:t>
      </w:r>
    </w:p>
    <w:p>
      <w:pPr>
        <w:pStyle w:val="Heading2"/>
      </w:pPr>
      <w:r>
        <w:t xml:space="preserve">3.1 可行性分析</w:t>
      </w:r>
    </w:p>
    <w:p>
      <w:pPr>
        <w:spacing w:after="120"/>
      </w:pPr>
      <w:r>
        <w:rPr>
          <w:rFonts w:ascii="Arial" w:eastAsia="Microsoft YaHei" w:hAnsi="Arial"/>
          <w:b/>
          <w:bCs/>
        </w:rPr>
        <w:t xml:space="preserve">当前模型状态：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GATv2已验证最优（对比GAT/GINE/PDN/PNA/ResGatedGCN/GraphTransformer）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加深网络无效（三层已收敛）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架构接近饱和</w:t>
      </w:r>
    </w:p>
    <w:p>
      <w:pPr>
        <w:spacing w:after="200" w:before="200"/>
      </w:pPr>
      <w:r>
        <w:rPr>
          <w:rFonts w:ascii="Arial" w:eastAsia="Microsoft YaHei" w:hAnsi="Arial"/>
          <w:b/>
          <w:bCs/>
          <w:color w:val="2B6CB0"/>
        </w:rPr>
        <w:t xml:space="preserve">可行性判断：✅ 中等可行，需精细设计</w:t>
      </w:r>
    </w:p>
    <w:p>
      <w:pPr>
        <w:pStyle w:val="Heading2"/>
      </w:pPr>
      <w:r>
        <w:t xml:space="preserve">3.2 具体方案</w:t>
      </w:r>
    </w:p>
    <w:p>
      <w:pPr>
        <w:pStyle w:val="Heading3"/>
      </w:pPr>
      <w:r>
        <w:t xml:space="preserve">方案A：损失函数增强</w:t>
      </w:r>
    </w:p>
    <w:p>
      <w:pPr>
        <w:spacing w:after="120"/>
      </w:pPr>
      <w:r>
        <w:rPr>
          <w:rFonts w:ascii="Arial" w:eastAsia="Microsoft YaHei" w:hAnsi="Arial"/>
        </w:rPr>
        <w:t xml:space="preserve">当前损失函数：L = log-cosh + max/batch_size</w:t>
      </w:r>
    </w:p>
    <w:p>
      <w:pPr>
        <w:spacing w:after="80"/>
      </w:pPr>
      <w:r>
        <w:rPr>
          <w:rFonts w:ascii="Arial" w:eastAsia="Microsoft YaHei" w:hAnsi="Arial"/>
          <w:b/>
          <w:bCs/>
        </w:rPr>
        <w:t xml:space="preserve">优化方向：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空间连续性约束：L_spatial = λ_s × Σ ||∇²ŷ - ∇²y||²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时序一致性约束：L_temporal = λ_t × Σ |ŷ(t) - ŷ(t-1) - (y(t) - y(t-1))|²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分布匹配损失：L_distribution = KL(P(y) || P(ŷ))</w:t>
      </w:r>
    </w:p>
    <w:p>
      <w:pPr>
        <w:spacing w:after="200" w:before="120"/>
      </w:pPr>
      <w:r>
        <w:rPr>
          <w:rFonts w:ascii="Arial" w:eastAsia="Microsoft YaHei" w:hAnsi="Arial"/>
          <w:b/>
          <w:bCs/>
          <w:color w:val="2B6CB0"/>
        </w:rPr>
        <w:t xml:space="preserve">预期收益：MAE降低3-5%</w:t>
      </w:r>
    </w:p>
    <w:p>
      <w:pPr>
        <w:pStyle w:val="Heading3"/>
      </w:pPr>
      <w:r>
        <w:t xml:space="preserve">方案B：多尺度特征融合</w:t>
      </w:r>
    </w:p>
    <w:p>
      <w:pPr>
        <w:spacing w:after="120"/>
      </w:pPr>
      <w:r>
        <w:rPr>
          <w:rFonts w:ascii="Arial" w:eastAsia="Microsoft YaHei" w:hAnsi="Arial"/>
        </w:rPr>
        <w:t xml:space="preserve">核心思想：不同尺度捕获不同层次的空间模式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多尺度图构建：G_small(N=16), G_medium(N=32), G_large(N=48)，尺度比例1:2:4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跨尺度注意力融合：H_fused = CrossScaleAttention([H_small, H_medium, H_large])</w:t>
      </w:r>
    </w:p>
    <w:p>
      <w:pPr>
        <w:spacing w:after="200" w:before="120"/>
      </w:pPr>
      <w:r>
        <w:rPr>
          <w:rFonts w:ascii="Arial" w:eastAsia="Microsoft YaHei" w:hAnsi="Arial"/>
          <w:b/>
          <w:bCs/>
          <w:color w:val="2B6CB0"/>
        </w:rPr>
        <w:t xml:space="preserve">预期收益：R²提升2-4%</w:t>
      </w:r>
    </w:p>
    <w:p>
      <w:pPr>
        <w:pStyle w:val="Heading3"/>
      </w:pPr>
      <w:r>
        <w:t xml:space="preserve">方案C：对比学习增强</w:t>
      </w:r>
    </w:p>
    <w:p>
      <w:pPr>
        <w:spacing w:after="120"/>
      </w:pPr>
      <w:r>
        <w:rPr>
          <w:rFonts w:ascii="Arial" w:eastAsia="Microsoft YaHei" w:hAnsi="Arial"/>
        </w:rPr>
        <w:t xml:space="preserve">核心思想：学习时空模式的不变性和区分性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正样本：同一位置的时序邻域、空间邻域的相似区域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负样本：不同城市的相同时空位置、同城市但不同功能区</w:t>
      </w:r>
    </w:p>
    <w:p>
      <w:pPr>
        <w:spacing w:after="200" w:before="120"/>
      </w:pPr>
      <w:r>
        <w:rPr>
          <w:rFonts w:ascii="Arial" w:eastAsia="Microsoft YaHei" w:hAnsi="Arial"/>
          <w:b/>
          <w:bCs/>
          <w:color w:val="2B6CB0"/>
        </w:rPr>
        <w:t xml:space="preserve">预期收益：泛化误差降低5-8%</w:t>
      </w:r>
    </w:p>
    <w:p>
      <w:pPr>
        <w:pStyle w:val="Heading3"/>
      </w:pPr>
      <w:r>
        <w:t xml:space="preserve">方案D：不确定性估计</w:t>
      </w:r>
    </w:p>
    <w:p>
      <w:pPr>
        <w:spacing w:after="120"/>
      </w:pPr>
      <w:r>
        <w:rPr>
          <w:rFonts w:ascii="Arial" w:eastAsia="Microsoft YaHei" w:hAnsi="Arial"/>
        </w:rPr>
        <w:t xml:space="preserve">核心思想：预测值 + 置信区间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输出双分支：μ = Mean_Branch(H), σ = Std_Branch(H)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负对数似然损失：L_nll = log(σ²) + (y - μ)² / σ²</w:t>
      </w:r>
    </w:p>
    <w:p>
      <w:pPr>
        <w:spacing w:after="200" w:before="120"/>
      </w:pPr>
      <w:r>
        <w:rPr>
          <w:rFonts w:ascii="Arial" w:eastAsia="Microsoft YaHei" w:hAnsi="Arial"/>
          <w:b/>
          <w:bCs/>
          <w:color w:val="2B6CB0"/>
        </w:rPr>
        <w:t xml:space="preserve">预期收益：提供预测置信度，可用于数据质量评估</w:t>
      </w:r>
    </w:p>
    <w:p>
      <w:pPr>
        <w:pStyle w:val="Heading1"/>
      </w:pPr>
      <w:r>
        <w:t xml:space="preserve">四、问题3：子图生成流程加速</w:t>
      </w:r>
    </w:p>
    <w:p>
      <w:pPr>
        <w:pStyle w:val="Heading2"/>
      </w:pPr>
      <w:r>
        <w:t xml:space="preserve">4.1 可行性分析</w:t>
      </w:r>
    </w:p>
    <w:p>
      <w:pPr>
        <w:spacing w:after="120"/>
      </w:pPr>
      <w:r>
        <w:rPr>
          <w:rFonts w:ascii="Arial" w:eastAsia="Microsoft YaHei" w:hAnsi="Arial"/>
          <w:b/>
          <w:bCs/>
        </w:rPr>
        <w:t xml:space="preserve">当前瓶颈：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逐节点生成子图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北京单年数据：约1000万张子图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Microsoft YaHei" w:hAnsi="Arial"/>
        </w:rPr>
        <w:t xml:space="preserve">i5-8代/32G/8并发：耗时超过24小时</w:t>
      </w:r>
    </w:p>
    <w:p>
      <w:pPr>
        <w:spacing w:after="200" w:before="200"/>
      </w:pPr>
      <w:r>
        <w:rPr>
          <w:rFonts w:ascii="Arial" w:eastAsia="Microsoft YaHei" w:hAnsi="Arial"/>
          <w:b/>
          <w:bCs/>
          <w:color w:val="2B6CB0"/>
        </w:rPr>
        <w:t xml:space="preserve">可行性判断：✅ 高度可行，收益显著</w:t>
      </w:r>
    </w:p>
    <w:p>
      <w:pPr>
        <w:pStyle w:val="Heading2"/>
      </w:pPr>
      <w:r>
        <w:t xml:space="preserve">4.2 具体方案</w:t>
      </w:r>
    </w:p>
    <w:p>
      <w:pPr>
        <w:pStyle w:val="Heading3"/>
      </w:pPr>
      <w:r>
        <w:t xml:space="preserve">方案A：空间分块并行化</w:t>
      </w:r>
    </w:p>
    <w:p>
      <w:pPr>
        <w:spacing w:after="120"/>
      </w:pPr>
      <w:r>
        <w:rPr>
          <w:rFonts w:ascii="Arial" w:eastAsia="Microsoft YaHei" w:hAnsi="Arial"/>
        </w:rPr>
        <w:t xml:space="preserve">核心思想：将大区域划分为独立子区域，并行处理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空间分块：将研究区域划分为M×N个不重叠的瓦片（建议512×512或1024×1024）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瓦片级并行：使用multiprocessing.Pool实现多进程并行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边界处理：瓦片边缘需要重叠区域（overlap=窗口大小r）</w:t>
      </w:r>
    </w:p>
    <w:p>
      <w:pPr>
        <w:spacing w:after="200" w:before="120"/>
      </w:pPr>
      <w:r>
        <w:rPr>
          <w:rFonts w:ascii="Arial" w:eastAsia="Microsoft YaHei" w:hAnsi="Arial"/>
          <w:b/>
          <w:bCs/>
          <w:color w:val="2B6CB0"/>
        </w:rPr>
        <w:t xml:space="preserve">预期收益：8核并行理论加速8倍，实际加速6-7倍</w:t>
      </w:r>
    </w:p>
    <w:p>
      <w:pPr>
        <w:pStyle w:val="Heading3"/>
      </w:pPr>
      <w:r>
        <w:t xml:space="preserve">方案B：GPU加速Bresenham算法</w:t>
      </w:r>
    </w:p>
    <w:p>
      <w:pPr>
        <w:spacing w:after="120"/>
      </w:pPr>
      <w:r>
        <w:rPr>
          <w:rFonts w:ascii="Arial" w:eastAsia="Microsoft YaHei" w:hAnsi="Arial"/>
        </w:rPr>
        <w:t xml:space="preserve">核心思想：将3D Bresenham算法向量化，在GPU上批量执行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批量位置索引：将所有待处理位置打包为张量 positions: [N, 3]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向量化距离计算：distances = torch.norm(positions - center, dim=1)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GPU并行Bresenham：使用CUDA kernel实现并行3D线段追踪</w:t>
      </w:r>
    </w:p>
    <w:p>
      <w:pPr>
        <w:spacing w:after="200" w:before="120"/>
      </w:pPr>
      <w:r>
        <w:rPr>
          <w:rFonts w:ascii="Arial" w:eastAsia="Microsoft YaHei" w:hAnsi="Arial"/>
          <w:b/>
          <w:bCs/>
          <w:color w:val="2B6CB0"/>
        </w:rPr>
        <w:t xml:space="preserve">预期收益：GPU加速10-50倍，Tesla M40预计20倍加速</w:t>
      </w:r>
    </w:p>
    <w:p>
      <w:pPr>
        <w:pStyle w:val="Heading3"/>
      </w:pPr>
      <w:r>
        <w:t xml:space="preserve">方案C：预计算与缓存复用</w:t>
      </w:r>
    </w:p>
    <w:p>
      <w:pPr>
        <w:spacing w:after="120"/>
      </w:pPr>
      <w:r>
        <w:rPr>
          <w:rFonts w:ascii="Arial" w:eastAsia="Microsoft YaHei" w:hAnsi="Arial"/>
        </w:rPr>
        <w:t xml:space="preserve">核心思想：相似位置的子图结构可复用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空间哈希索引：hash_key = (t // Δt, x // Δx, y // Δy)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代表性位置选择：每个网格单元选择一个代表性位置，仅构建完整子图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相似位置复用：相邻位置共享子图结构，仅更新节点特征值</w:t>
      </w:r>
    </w:p>
    <w:p>
      <w:pPr>
        <w:spacing w:after="200" w:before="120"/>
      </w:pPr>
      <w:r>
        <w:rPr>
          <w:rFonts w:ascii="Arial" w:eastAsia="Microsoft YaHei" w:hAnsi="Arial"/>
          <w:b/>
          <w:bCs/>
          <w:color w:val="2B6CB0"/>
        </w:rPr>
        <w:t xml:space="preserve">预期收益：缓存命中率60-80%，有效加速3-5倍</w:t>
      </w:r>
    </w:p>
    <w:p>
      <w:pPr>
        <w:pStyle w:val="Heading3"/>
      </w:pPr>
      <w:r>
        <w:t xml:space="preserve">方案D：近似算法加速</w:t>
      </w:r>
    </w:p>
    <w:p>
      <w:pPr>
        <w:spacing w:after="120"/>
      </w:pPr>
      <w:r>
        <w:rPr>
          <w:rFonts w:ascii="Arial" w:eastAsia="Microsoft YaHei" w:hAnsi="Arial"/>
        </w:rPr>
        <w:t xml:space="preserve">核心思想：用近似算法替代精确Bresenham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预计算查找表：对所有可能的相对偏移(Δt, Δx, Δy)预计算Bresenham路径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近似连边策略：距离阈值直接连边 + 层级连边，减少Bresenham调用</w:t>
      </w:r>
    </w:p>
    <w:p>
      <w:pPr>
        <w:spacing w:after="200" w:before="120"/>
      </w:pPr>
      <w:r>
        <w:rPr>
          <w:rFonts w:ascii="Arial" w:eastAsia="Microsoft YaHei" w:hAnsi="Arial"/>
          <w:b/>
          <w:bCs/>
          <w:color w:val="2B6CB0"/>
        </w:rPr>
        <w:t xml:space="preserve">预期收益：查找表加速5-10倍，近似连边加速3-5倍（精度损失&lt;1%）</w:t>
      </w:r>
    </w:p>
    <w:p>
      <w:pPr>
        <w:pStyle w:val="Heading3"/>
      </w:pPr>
      <w:r>
        <w:t xml:space="preserve">综合加速方案</w:t>
      </w:r>
    </w:p>
    <w:p>
      <w:pPr>
        <w:spacing w:after="120"/>
      </w:pPr>
      <w:r>
        <w:rPr>
          <w:rFonts w:ascii="Arial" w:eastAsia="Microsoft YaHei" w:hAnsi="Arial"/>
          <w:b/>
          <w:bCs/>
        </w:rPr>
        <w:t xml:space="preserve">推荐组合：方案A + 方案B + 方案C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加速策略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加速效果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1. 空间分块 (8核并行)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6倍加速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2. GPU向量化Bresenham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10倍加速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3. 缓存复用 (命中率70%)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3倍加速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综合加速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6 × 10 × 3 = 180倍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最终效果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24小时 → 8分钟</w:t>
            </w:r>
          </w:p>
        </w:tc>
      </w:tr>
    </w:tbl>
    <w:p>
      <w:pPr>
        <w:spacing w:before="200"/>
      </w:pPr>
    </w:p>
    <w:p>
      <w:pPr>
        <w:pStyle w:val="Heading1"/>
      </w:pPr>
      <w:r>
        <w:t xml:space="preserve">五、优先级建议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2000"/>
        <w:gridCol w:w="1500"/>
        <w:gridCol w:w="1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方向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可行性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预期收益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实现难度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6CB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子图生成加速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10-100倍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⭐⭐⭐⭐⭐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自适应节点数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MAE↓5-10%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低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⭐⭐⭐⭐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损失函数增强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MAE↓3-5%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低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⭐⭐⭐⭐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动态连边策略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R²↑2-3%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⭐⭐⭐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多尺度融合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R²↑2-4%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⭐⭐⭐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对比学习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泛化↑5-8%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 w:val="false"/>
                <w:bCs w:val="false"/>
                <w:color w:val="000000"/>
                <w:sz w:val="20"/>
                <w:szCs w:val="20"/>
              </w:rPr>
              <w:t xml:space="preserve">⭐⭐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建议实施路径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第一阶段（1-2周）：子图生成加速（方案A+B+C）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第二阶段（1周）：自适应节点数（方案A）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第三阶段（1周）：损失函数增强（方案A）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</w:rPr>
        <w:t xml:space="preserve">第四阶段（2周）：动态连边策略（方案B）</w:t>
      </w:r>
    </w:p>
    <w:p>
      <w:pPr>
        <w:spacing w:before="400"/>
      </w:pPr>
    </w:p>
    <w:p>
      <w:pPr>
        <w:jc w:val="center"/>
      </w:pPr>
      <w:r>
        <w:rPr>
          <w:rFonts w:ascii="Arial" w:eastAsia="Microsoft YaHei" w:hAnsi="Arial"/>
          <w:color w:val="666666"/>
          <w:sz w:val="20"/>
          <w:szCs w:val="20"/>
        </w:rPr>
        <w:t xml:space="preserve">文档生成日期：2026年4月14日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40" w:before="360"/>
      <w:outlineLvl w:val="0"/>
    </w:pPr>
    <w:rPr>
      <w:rFonts w:ascii="Arial" w:eastAsia="Microsoft YaHei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80" w:before="240"/>
      <w:outlineLvl w:val="1"/>
    </w:pPr>
    <w:rPr>
      <w:rFonts w:ascii="Arial" w:eastAsia="Microsoft YaHei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180"/>
      <w:outlineLvl w:val="2"/>
    </w:pPr>
    <w:rPr>
      <w:rFonts w:ascii="Arial" w:eastAsia="Microsoft YaHei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2026-04-14T02:48:12.705Z</dcterms:created>
  <dcterms:modified xsi:type="dcterms:W3CDTF">2026-04-14T02:48:12.707Z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