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45C"/>
          <w:sz w:val="42"/>
        </w:rPr>
        <w:t>Учебный образец</w:t>
      </w:r>
    </w:p>
    <w:p>
      <w:pPr>
        <w:jc w:val="center"/>
      </w:pPr>
      <w:r>
        <w:rPr>
          <w:b/>
          <w:color w:val="2F6BFF"/>
          <w:sz w:val="24"/>
        </w:rPr>
        <w:t>Программа и методика испытаний CampusDesk Web</w:t>
      </w:r>
    </w:p>
    <w:p>
      <w:pPr>
        <w:jc w:val="center"/>
      </w:pPr>
      <w:r>
        <w:rPr>
          <w:color w:val="657080"/>
          <w:sz w:val="18"/>
        </w:rPr>
        <w:t>Связь требований с проверкой • демонстрационный фрагмент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1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 w:val="0"/>
                <w:color w:val="1B2430"/>
                <w:sz w:val="19"/>
              </w:rPr>
              <w:t>ПМИ показывает не «все тесты разработчика», а воспроизводимую доказательную процедуру для выбранных требований. Формат ниже упрощён для обучения.</w:t>
            </w:r>
          </w:p>
        </w:tc>
      </w:tr>
    </w:tbl>
    <w:p>
      <w:pPr>
        <w:spacing w:after="0"/>
      </w:pPr>
    </w:p>
    <w:p>
      <w:pPr>
        <w:pStyle w:val="Heading1"/>
      </w:pPr>
      <w:r>
        <w:t>1. Объект и цель испытаний</w:t>
      </w:r>
    </w:p>
    <w:p>
      <w:r>
        <w:t>Объект: CampusDesk Web версии 1.0. Цель: подтвердить выполнение ключевых функциональных и нефункциональных требований учебного ТЗ.</w:t>
      </w:r>
    </w:p>
    <w:p>
      <w:pPr>
        <w:pStyle w:val="Heading1"/>
      </w:pPr>
      <w:r>
        <w:t>2. Условия</w:t>
      </w:r>
    </w:p>
    <w:p>
      <w:pPr>
        <w:pStyle w:val="ListBullet"/>
      </w:pPr>
      <w:r>
        <w:t>Тестовый стенд развёрнут по штатной схеме.</w:t>
      </w:r>
    </w:p>
    <w:p>
      <w:pPr>
        <w:pStyle w:val="ListBullet"/>
      </w:pPr>
      <w:r>
        <w:t>Созданы пользователи Student-A, Student-B, Operator-1.</w:t>
      </w:r>
    </w:p>
    <w:p>
      <w:pPr>
        <w:pStyle w:val="ListBullet"/>
      </w:pPr>
      <w:r>
        <w:t>Почтовый тестовый сервис доступен.</w:t>
      </w:r>
    </w:p>
    <w:p>
      <w:pPr>
        <w:pStyle w:val="ListBullet"/>
      </w:pPr>
      <w:r>
        <w:t>Время компонентов синхронизировано.</w:t>
      </w:r>
    </w:p>
    <w:p>
      <w:pPr>
        <w:pStyle w:val="Heading1"/>
      </w:pPr>
      <w:r>
        <w:t>3. Матрица трассировки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3402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6520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Тесты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REQ-FUNC-01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TEST-01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REQ-FUNC-02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TEST-01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REQ-FUNC-03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TEST-02, TEST-03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REQ-FUNC-04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TEST-04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REQ-FUNC-05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TEST-04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REQ-PERF-01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TEST-05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REQ-SEC-01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TEST-06</w:t>
            </w:r>
          </w:p>
        </w:tc>
      </w:tr>
    </w:tbl>
    <w:p>
      <w:pPr>
        <w:pStyle w:val="Heading1"/>
      </w:pPr>
      <w:r>
        <w:t>4. Тестовые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1304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3515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Действия</w:t>
            </w:r>
          </w:p>
        </w:tc>
        <w:tc>
          <w:tcPr>
            <w:tcW w:type="dxa" w:w="3005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TEST-01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Создание обращения и ID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Авторизоваться Student-A; создать обращение с темой и описанием.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Обращение сохранено; присвоен уникальный ID; ID показан пользователю.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TEST-02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Пять вложений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Прикрепить 5 файлов по 1 МБ и создать обращение.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Создание успешно; все 5 вложений доступны.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TEST-03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Шестое вложение / превышение лимита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Попытаться прикрепить 6 файлов; отдельно файл &gt;20 МБ.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Система не принимает недопустимый набор и показывает понятное сообщение.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TEST-04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Статус и история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Operator-1 переводит new → in_progress → resolved.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Каждый переход разрешён; история содержит пользователя и время; недопустимый переход блокируется.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TEST-05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Производительность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Сгенерировать 300 активных пользователей; измерить запросы просмотра.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6"/>
              </w:rPr>
              <w:t>Не менее 95 % выбранных запросов ≤ 2 с при заданной конфигурации.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TEST-06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Разграничение доступа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Student-A создаёт заявку; Student-B пытается получить её по прямому ID/API.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6"/>
              </w:rPr>
              <w:t>Student-B не получает содержимое чужого обращения; возвращается допустимый отказ.</w:t>
            </w:r>
          </w:p>
        </w:tc>
      </w:tr>
    </w:tbl>
    <w:p>
      <w:pPr>
        <w:pStyle w:val="Heading1"/>
      </w:pPr>
      <w:r>
        <w:t>5. Фиксация результата</w:t>
      </w:r>
    </w:p>
    <w:p>
      <w:r>
        <w:t>Для каждого теста фиксируются дата, версия продукта, конфигурация стенда, фактический результат, статус PASS/FAIL и ссылка на дефект при неуспехе.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B2430"/>
                <w:sz w:val="18"/>
              </w:rPr>
              <w:t>TEST-04 | CampusDesk 1.0.0 | PASS | 30.09.2026</w:t>
              <w:br/>
              <w:t>Комментарий: переход new → closed отклонён согласно правилам.</w:t>
            </w:r>
          </w:p>
        </w:tc>
      </w:tr>
    </w:tbl>
    <w:p>
      <w:pPr>
        <w:spacing w:after="0"/>
      </w:pPr>
    </w:p>
    <w:p>
      <w:pPr>
        <w:pStyle w:val="Heading1"/>
      </w:pPr>
      <w:r>
        <w:t>6. Критерий завершения</w:t>
      </w:r>
    </w:p>
    <w:p>
      <w:r>
        <w:t>Учебная приёмка считается успешной, если все обязательные тесты имеют PASS и отсутствуют открытые дефекты критического уровня, препятствующие выполнению проверяемых требований.</w:t>
      </w:r>
    </w:p>
    <w:p>
      <w:r>
        <w:rPr>
          <w:b/>
        </w:rPr>
        <w:t xml:space="preserve">Официальная карточка ГОСТ 19.301-79: </w:t>
      </w:r>
      <w:hyperlink r:id="rId9">
        <w:r>
          <w:rPr>
            <w:color w:val="2F6BFF"/>
            <w:u w:val="single"/>
          </w:rPr>
          <w:t>https://protect.gost.ru/gost/details/b25e0645-091a-425b-8558-3e0c3ce37315</w:t>
        </w:r>
      </w:hyperlink>
    </w:p>
    <w:sectPr w:rsidR="00FC693F" w:rsidRPr="0006063C" w:rsidSect="00034616">
      <w:pgSz w:w="12240" w:h="15840"/>
      <w:pgMar w:top="850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4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B7A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73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tect.gost.ru/gost/details/b25e0645-091a-425b-8558-3e0c3ce373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