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45C"/>
          <w:sz w:val="42"/>
        </w:rPr>
        <w:t>Учебный образец</w:t>
      </w:r>
    </w:p>
    <w:p>
      <w:pPr>
        <w:jc w:val="center"/>
      </w:pPr>
      <w:r>
        <w:rPr>
          <w:b/>
          <w:color w:val="2F6BFF"/>
          <w:sz w:val="24"/>
        </w:rPr>
        <w:t>Руководство оператора CampusDesk</w:t>
      </w:r>
    </w:p>
    <w:p>
      <w:pPr>
        <w:jc w:val="center"/>
      </w:pPr>
      <w:r>
        <w:rPr>
          <w:color w:val="657080"/>
          <w:sz w:val="18"/>
        </w:rPr>
        <w:t>Рабочий документ для сотрудника IT-службы • демонстрационный фрагмент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7F8F4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 w:val="0"/>
                <w:color w:val="1B2430"/>
                <w:sz w:val="19"/>
              </w:rPr>
              <w:t>Главный принцип: руководство пишется для роли оператора, а не для разработчика. Оно объясняет рабочие действия и реакцию на сообщения системы.</w:t>
            </w:r>
          </w:p>
        </w:tc>
      </w:tr>
    </w:tbl>
    <w:p>
      <w:pPr>
        <w:spacing w:after="0"/>
      </w:pPr>
    </w:p>
    <w:p>
      <w:pPr>
        <w:pStyle w:val="Heading1"/>
      </w:pPr>
      <w:r>
        <w:t>1. Назначение</w:t>
      </w:r>
    </w:p>
    <w:p>
      <w:r>
        <w:t>CampusDesk используется оператором IT-службы для просмотра очереди обращений, принятия заявки в работу, изменения статуса и общения с заявителем.</w:t>
      </w:r>
    </w:p>
    <w:p>
      <w:pPr>
        <w:pStyle w:val="Heading1"/>
      </w:pPr>
      <w:r>
        <w:t>2. Условия работы</w:t>
      </w:r>
    </w:p>
    <w:p>
      <w:pPr>
        <w:pStyle w:val="ListBullet"/>
      </w:pPr>
      <w:r>
        <w:t>Рабочий браузер и доступ к сети колледжа.</w:t>
      </w:r>
    </w:p>
    <w:p>
      <w:pPr>
        <w:pStyle w:val="ListBullet"/>
      </w:pPr>
      <w:r>
        <w:t>Учётная запись с ролью Operator.</w:t>
      </w:r>
    </w:p>
    <w:p>
      <w:pPr>
        <w:pStyle w:val="ListBullet"/>
      </w:pPr>
      <w:r>
        <w:t>Доступность SSO и сервиса CampusDesk.</w:t>
      </w:r>
    </w:p>
    <w:p>
      <w:pPr>
        <w:pStyle w:val="Heading1"/>
      </w:pPr>
      <w:r>
        <w:t>3. Вход</w:t>
      </w:r>
    </w:p>
    <w:p>
      <w:pPr>
        <w:pStyle w:val="ListNumber"/>
      </w:pPr>
      <w:r>
        <w:t>Откройте адрес CampusDesk.</w:t>
      </w:r>
    </w:p>
    <w:p>
      <w:pPr>
        <w:pStyle w:val="ListNumber"/>
      </w:pPr>
      <w:r>
        <w:t>Нажмите «Войти».</w:t>
      </w:r>
    </w:p>
    <w:p>
      <w:pPr>
        <w:pStyle w:val="ListNumber"/>
      </w:pPr>
      <w:r>
        <w:t>Пройдите аутентификацию через SSO колледжа.</w:t>
      </w:r>
    </w:p>
    <w:p>
      <w:pPr>
        <w:pStyle w:val="ListNumber"/>
      </w:pPr>
      <w:r>
        <w:t>Убедитесь, что в правом верхнем углу отображается ваша учётная запись.</w:t>
      </w:r>
    </w:p>
    <w:p>
      <w:pPr>
        <w:pStyle w:val="Heading1"/>
      </w:pPr>
      <w:r>
        <w:t>4. Обработка нового обращения</w:t>
      </w:r>
    </w:p>
    <w:p>
      <w:pPr>
        <w:pStyle w:val="ListNumber"/>
      </w:pPr>
      <w:r>
        <w:t>Откройте раздел «Новые».</w:t>
      </w:r>
    </w:p>
    <w:p>
      <w:pPr>
        <w:pStyle w:val="ListNumber"/>
      </w:pPr>
      <w:r>
        <w:t>Выберите обращение.</w:t>
      </w:r>
    </w:p>
    <w:p>
      <w:pPr>
        <w:pStyle w:val="ListNumber"/>
      </w:pPr>
      <w:r>
        <w:t>Проверьте тему, описание и вложения.</w:t>
      </w:r>
    </w:p>
    <w:p>
      <w:pPr>
        <w:pStyle w:val="ListNumber"/>
      </w:pPr>
      <w:r>
        <w:t>Нажмите «Принять в работу».</w:t>
      </w:r>
    </w:p>
    <w:p>
      <w:pPr>
        <w:pStyle w:val="ListNumber"/>
      </w:pPr>
      <w:r>
        <w:t>Убедитесь, что статус изменился на «В работе».</w:t>
      </w:r>
    </w:p>
    <w:p>
      <w:pPr>
        <w:pStyle w:val="ListNumber"/>
      </w:pPr>
      <w:r>
        <w:t>Добавьте комментарий при необходимости.</w:t>
      </w:r>
    </w:p>
    <w:p>
      <w:pPr>
        <w:pStyle w:val="Heading1"/>
      </w:pPr>
      <w:r>
        <w:t>5. Завершение обращения</w:t>
      </w:r>
    </w:p>
    <w:p>
      <w:pPr>
        <w:pStyle w:val="ListNumber"/>
      </w:pPr>
      <w:r>
        <w:t>Откройте обращение.</w:t>
      </w:r>
    </w:p>
    <w:p>
      <w:pPr>
        <w:pStyle w:val="ListNumber"/>
      </w:pPr>
      <w:r>
        <w:t>Добавьте решение/комментарий.</w:t>
      </w:r>
    </w:p>
    <w:p>
      <w:pPr>
        <w:pStyle w:val="ListNumber"/>
      </w:pPr>
      <w:r>
        <w:t>Выберите статус «Решено».</w:t>
      </w:r>
    </w:p>
    <w:p>
      <w:pPr>
        <w:pStyle w:val="ListNumber"/>
      </w:pPr>
      <w:r>
        <w:t>Проверьте появление события в истории.</w:t>
      </w:r>
    </w:p>
    <w:p>
      <w:pPr>
        <w:pStyle w:val="Heading1"/>
      </w:pPr>
      <w:r>
        <w:t>6. Типовые сообщения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  <w:cantSplit/>
        </w:trPr>
        <w:tc>
          <w:tcPr>
            <w:tcW w:type="dxa" w:w="2381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Сообщение</w:t>
            </w:r>
          </w:p>
        </w:tc>
        <w:tc>
          <w:tcPr>
            <w:tcW w:type="dxa" w:w="3515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Что означает</w:t>
            </w:r>
          </w:p>
        </w:tc>
        <w:tc>
          <w:tcPr>
            <w:tcW w:type="dxa" w:w="3969"/>
            <w:shd w:fill="17345C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«Нет соединения с сервером»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Frontend не получил ответ API.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Повторить через 30–60 секунд; если сохраняется — сообщить администратору и указать время.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«Недостаточно прав»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Роль не разрешает действие.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Проверить, что используется операторская учётная запись; не пытаться обходить ограничение.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«Файл превышает 20 МБ»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Вложение не соответствует лимиту.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B2430"/>
                <w:sz w:val="17"/>
              </w:rPr>
              <w:t>Попросить заявителя уменьшить файл или предоставить разрешённым способом.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«Сессия истекла»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Требуется повторная аутентификация.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B2430"/>
                <w:sz w:val="17"/>
              </w:rPr>
              <w:t>Войти через SSO повторно.</w:t>
            </w:r>
          </w:p>
        </w:tc>
      </w:tr>
    </w:tbl>
    <w:p>
      <w:pPr>
        <w:pStyle w:val="Heading1"/>
      </w:pPr>
      <w:r>
        <w:t>7. Действия при сбое</w:t>
      </w:r>
    </w:p>
    <w:p>
      <w:pPr>
        <w:pStyle w:val="ListBullet"/>
      </w:pPr>
      <w:r>
        <w:t>Не выполнять многократное массовое повторение одной операции.</w:t>
      </w:r>
    </w:p>
    <w:p>
      <w:pPr>
        <w:pStyle w:val="ListBullet"/>
      </w:pPr>
      <w:r>
        <w:t>Зафиксировать время, ID обращения и текст ошибки.</w:t>
      </w:r>
    </w:p>
    <w:p>
      <w:pPr>
        <w:pStyle w:val="ListBullet"/>
      </w:pPr>
      <w:r>
        <w:t>Проверить корпоративный канал уведомлений о сбоях.</w:t>
      </w:r>
    </w:p>
    <w:p>
      <w:pPr>
        <w:pStyle w:val="ListBullet"/>
      </w:pPr>
      <w:r>
        <w:t>При необходимости передать данные администратору.</w:t>
      </w:r>
    </w:p>
    <w:p>
      <w:pPr>
        <w:pStyle w:val="Heading1"/>
      </w:pPr>
      <w:r>
        <w:t>8. Что оператор не должен делать</w:t>
      </w:r>
    </w:p>
    <w:p>
      <w:pPr>
        <w:pStyle w:val="ListBullet"/>
      </w:pPr>
      <w:r>
        <w:t>Изменять данные напрямую в БД.</w:t>
      </w:r>
    </w:p>
    <w:p>
      <w:pPr>
        <w:pStyle w:val="ListBullet"/>
      </w:pPr>
      <w:r>
        <w:t>Передавать свою учётную запись другому сотруднику.</w:t>
      </w:r>
    </w:p>
    <w:p>
      <w:pPr>
        <w:pStyle w:val="ListBullet"/>
      </w:pPr>
      <w:r>
        <w:t>Использовать администраторские процедуры без соответствующей роли.</w:t>
      </w:r>
    </w:p>
    <w:p>
      <w:r>
        <w:rPr>
          <w:b/>
        </w:rPr>
        <w:t xml:space="preserve">Официальная карточка ГОСТ 19.505-79: </w:t>
      </w:r>
      <w:hyperlink r:id="rId9">
        <w:r>
          <w:rPr>
            <w:color w:val="2F6BFF"/>
            <w:u w:val="single"/>
          </w:rPr>
          <w:t>https://protect.gost.ru/gost/details/07fec7b0-024f-407f-b5a8-7ebfe7cfa0a9</w:t>
        </w:r>
      </w:hyperlink>
    </w:p>
    <w:sectPr w:rsidR="00FC693F" w:rsidRPr="0006063C" w:rsidSect="00034616">
      <w:pgSz w:w="12240" w:h="15840"/>
      <w:pgMar w:top="850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Calibri" w:hAnsi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4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B7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73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tect.gost.ru/gost/details/07fec7b0-024f-407f-b5a8-7ebfe7cfa0a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