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7345c"/>
          <w:sz w:val="42"/>
        </w:rPr>
        <w:t xml:space="preserve">Учебный образец</w:t>
      </w:r>
      <w:r/>
    </w:p>
    <w:p>
      <w:pPr>
        <w:pBdr/>
        <w:spacing/>
        <w:ind/>
        <w:jc w:val="center"/>
        <w:rPr/>
      </w:pPr>
      <w:r>
        <w:rPr>
          <w:b/>
          <w:color w:val="2f6bff"/>
          <w:sz w:val="24"/>
        </w:rPr>
        <w:t xml:space="preserve">Техническое задание на АС «CampusDesk»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e7f8f4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Здесь специально показаны вещи, которые выходят за границы одного приложения: инфраструктура, персонал, интеграции, ввод в действие и эксплуатация.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1. Общие сведения</w:t>
      </w:r>
      <w:r/>
    </w:p>
    <w:p>
      <w:pPr>
        <w:pBdr/>
        <w:spacing/>
        <w:ind/>
        <w:rPr/>
      </w:pPr>
      <w:r>
        <w:t xml:space="preserve">Полное наименование: автоматизированная система обработки обращений в IT-службу колледжа «CampusDesk».</w:t>
      </w:r>
      <w:r/>
    </w:p>
    <w:p>
      <w:pPr>
        <w:pBdr/>
        <w:spacing/>
        <w:ind/>
        <w:rPr>
          <w:highlight w:val="none"/>
        </w:rPr>
      </w:pPr>
      <w:r>
        <w:t xml:space="preserve">Заказчик: условный колледж. Разработчик: учебная команда CampusSoft.</w:t>
      </w:r>
      <w:r/>
    </w:p>
    <w:p w14:paraId="0AE9C7D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2. Цели автоматизации</w:t>
      </w:r>
      <w:r/>
    </w:p>
    <w:p>
      <w:pPr>
        <w:pStyle w:val="723"/>
        <w:pBdr/>
        <w:spacing/>
        <w:ind/>
        <w:rPr/>
      </w:pPr>
      <w:r>
        <w:t xml:space="preserve">Единая регистрация обращений.</w:t>
      </w:r>
      <w:r/>
    </w:p>
    <w:p>
      <w:pPr>
        <w:pStyle w:val="723"/>
        <w:pBdr/>
        <w:spacing/>
        <w:ind/>
        <w:rPr/>
      </w:pPr>
      <w:r>
        <w:t xml:space="preserve">Сокращение потерь заявок из почты и мессенджеров.</w:t>
      </w:r>
      <w:r/>
    </w:p>
    <w:p>
      <w:pPr>
        <w:pStyle w:val="723"/>
        <w:pBdr/>
        <w:spacing/>
        <w:ind/>
        <w:rPr/>
      </w:pPr>
      <w:r>
        <w:t xml:space="preserve">Контроль статусов и сроков обработки.</w:t>
      </w:r>
      <w:r/>
    </w:p>
    <w:p>
      <w:pPr>
        <w:pStyle w:val="723"/>
        <w:pBdr/>
        <w:spacing/>
        <w:ind/>
        <w:rPr/>
      </w:pPr>
      <w:r>
        <w:t xml:space="preserve">Формирование измеримой истории работы IT-службы.</w:t>
      </w:r>
      <w:r/>
    </w:p>
    <w:p w14:paraId="0306ABB7">
      <w:pPr>
        <w:pStyle w:val="723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3. Состав АС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Компонент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Роль в системе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CampusDesk Web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Пользовательский и операторский интерфейс, backend/API.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PostgreSQL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Хранение обращений, пользователей, истории.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SSO колледжа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Аутентификация.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Почтовая система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Уведомления.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Object Storage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Вложения.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Monitoring + Logs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Наблюдаемость и диагностика.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Рабочие места операторов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Доступ персонала к системе.</w:t>
            </w:r>
            <w:r/>
          </w:p>
        </w:tc>
      </w:tr>
    </w:tbl>
    <w:p w14:paraId="242F8EE3">
      <w:pPr>
        <w:pStyle w:val="693"/>
        <w:pBdr/>
        <w:spacing/>
        <w:ind/>
        <w:rPr>
          <w:sz w:val="19"/>
          <w:szCs w:val="19"/>
        </w:rPr>
      </w:pPr>
      <w:r>
        <w:rPr>
          <w:sz w:val="19"/>
          <w:szCs w:val="19"/>
          <w:highlight w:val="none"/>
        </w:rPr>
      </w:r>
      <w:r>
        <w:rPr>
          <w:highlight w:val="none"/>
        </w:rPr>
      </w:r>
      <w:r>
        <w:rPr>
          <w:sz w:val="19"/>
          <w:szCs w:val="19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4. Пользователи и организационный контур</w:t>
      </w:r>
      <w:r/>
    </w:p>
    <w:p>
      <w:pPr>
        <w:pStyle w:val="723"/>
        <w:pBdr/>
        <w:spacing/>
        <w:ind/>
        <w:rPr/>
      </w:pPr>
      <w:r>
        <w:t xml:space="preserve">Студенты и сотрудники — заявители.</w:t>
      </w:r>
      <w:r/>
    </w:p>
    <w:p>
      <w:pPr>
        <w:pStyle w:val="723"/>
        <w:pBdr/>
        <w:spacing/>
        <w:ind/>
        <w:rPr/>
      </w:pPr>
      <w:r>
        <w:t xml:space="preserve">Операторы IT-службы — обрабатывают обращения.</w:t>
      </w:r>
      <w:r/>
    </w:p>
    <w:p>
      <w:pPr>
        <w:pStyle w:val="723"/>
        <w:pBdr/>
        <w:spacing/>
        <w:ind/>
        <w:rPr/>
      </w:pPr>
      <w:r>
        <w:t xml:space="preserve">Руководитель IT-службы — контролирует очередь и отчётность.</w:t>
      </w:r>
      <w:r/>
    </w:p>
    <w:p>
      <w:pPr>
        <w:pStyle w:val="723"/>
        <w:pBdr/>
        <w:spacing/>
        <w:ind/>
        <w:rPr/>
      </w:pPr>
      <w:r>
        <w:t xml:space="preserve">Системный администратор — сопровождает инфраструктуру.</w:t>
      </w:r>
      <w:r/>
    </w:p>
    <w:p>
      <w:pPr>
        <w:pBdr/>
        <w:spacing/>
        <w:ind/>
        <w:rPr/>
      </w:pPr>
      <w:r>
        <w:t xml:space="preserve">До ввода системы должны быть утверждены роли и порядок обработки обращений, назначены ответственные операторы.</w:t>
      </w:r>
      <w:r/>
    </w:p>
    <w:p>
      <w:pPr>
        <w:pStyle w:val="693"/>
        <w:pBdr/>
        <w:spacing/>
        <w:ind/>
        <w:rPr/>
      </w:pPr>
      <w:r>
        <w:t xml:space="preserve">5. Требования к системе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ID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99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Требование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AS-REQ-01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99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АС должна обеспечивать создание, маршрутизацию, обработку и историю обращений.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AS-REQ-02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99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Аутентификация пользователей должна выполняться через SSO колледжа.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AS-REQ-03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99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Ежедневное резервное копирование БД должно выполняться автоматически; восстановление проверяется тестовым восстановлением по установленному графику.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AS-REQ-04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99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Отказ одного экземпляра приложения не должен приводить к потере уже сохранённых обращений.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AS-REQ-05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99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Система должна формировать журнал критичных операций операторов.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AS-REQ-06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99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Перед вводом в действие должны быть подготовлены инструкции и проведён инструктаж операторов.</w:t>
            </w:r>
            <w:r/>
          </w:p>
        </w:tc>
      </w:tr>
    </w:tbl>
    <w:p w14:paraId="1D8D6375">
      <w:pPr>
        <w:pStyle w:val="693"/>
        <w:pBdr/>
        <w:spacing/>
        <w:ind/>
        <w:rPr>
          <w:sz w:val="19"/>
          <w:szCs w:val="19"/>
        </w:rPr>
      </w:pPr>
      <w:r>
        <w:rPr>
          <w:sz w:val="19"/>
          <w:szCs w:val="19"/>
          <w:highlight w:val="none"/>
        </w:rPr>
      </w:r>
      <w:r>
        <w:rPr>
          <w:highlight w:val="none"/>
        </w:rPr>
      </w:r>
      <w:r>
        <w:rPr>
          <w:sz w:val="19"/>
          <w:szCs w:val="19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6. Интеграции</w:t>
      </w:r>
      <w:r/>
    </w:p>
    <w:p>
      <w:pPr>
        <w:pStyle w:val="723"/>
        <w:pBdr/>
        <w:spacing/>
        <w:ind/>
        <w:rPr/>
      </w:pPr>
      <w:r>
        <w:t xml:space="preserve">SSO: получение идентификатора и основных атрибутов пользователя.</w:t>
      </w:r>
      <w:r/>
    </w:p>
    <w:p>
      <w:pPr>
        <w:pStyle w:val="723"/>
        <w:pBdr/>
        <w:spacing/>
        <w:ind/>
        <w:rPr/>
      </w:pPr>
      <w:r>
        <w:t xml:space="preserve">Почта: отправка уведомлений о событиях.</w:t>
      </w:r>
      <w:r/>
    </w:p>
    <w:p>
      <w:pPr>
        <w:pStyle w:val="723"/>
        <w:pBdr/>
        <w:spacing/>
        <w:ind/>
        <w:rPr/>
      </w:pPr>
      <w:r>
        <w:t xml:space="preserve">Object Storage: хранение вложений.</w:t>
      </w:r>
      <w:r/>
    </w:p>
    <w:p w14:paraId="3006C013">
      <w:pPr>
        <w:pStyle w:val="723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7. Подготовка объекта автоматизации</w:t>
      </w:r>
      <w:r/>
    </w:p>
    <w:p>
      <w:pPr>
        <w:pStyle w:val="723"/>
        <w:pBdr/>
        <w:spacing/>
        <w:ind/>
        <w:rPr/>
      </w:pPr>
      <w:r>
        <w:t xml:space="preserve">Подготовить DNS и TLS.</w:t>
      </w:r>
      <w:r/>
    </w:p>
    <w:p>
      <w:pPr>
        <w:pStyle w:val="723"/>
        <w:pBdr/>
        <w:spacing/>
        <w:ind/>
        <w:rPr/>
      </w:pPr>
      <w:r>
        <w:t xml:space="preserve">Выделить вычислительные ресурсы.</w:t>
      </w:r>
      <w:r/>
    </w:p>
    <w:p>
      <w:pPr>
        <w:pStyle w:val="723"/>
        <w:pBdr/>
        <w:spacing/>
        <w:ind/>
        <w:rPr/>
      </w:pPr>
      <w:r>
        <w:t xml:space="preserve">Создать резервные копии и мониторинг.</w:t>
      </w:r>
      <w:r/>
    </w:p>
    <w:p>
      <w:pPr>
        <w:pStyle w:val="723"/>
        <w:pBdr/>
        <w:spacing/>
        <w:ind/>
        <w:rPr/>
      </w:pPr>
      <w:r>
        <w:t xml:space="preserve">Настроить SSO и почту.</w:t>
      </w:r>
      <w:r/>
    </w:p>
    <w:p>
      <w:pPr>
        <w:pStyle w:val="723"/>
        <w:pBdr/>
        <w:spacing/>
        <w:ind/>
        <w:rPr/>
      </w:pPr>
      <w:r>
        <w:t xml:space="preserve">Создать учётные записи операторов.</w:t>
      </w:r>
      <w:r/>
    </w:p>
    <w:p>
      <w:pPr>
        <w:pStyle w:val="723"/>
        <w:pBdr/>
        <w:spacing/>
        <w:ind/>
        <w:rPr/>
      </w:pPr>
      <w:r>
        <w:t xml:space="preserve">Провести инструктаж.</w:t>
      </w:r>
      <w:r/>
    </w:p>
    <w:p w14:paraId="77C222B4">
      <w:pPr>
        <w:pStyle w:val="723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8. Контроль и приёмка</w:t>
      </w:r>
      <w:r/>
    </w:p>
    <w:p>
      <w:pPr>
        <w:pBdr/>
        <w:spacing/>
        <w:ind/>
        <w:rPr>
          <w:highlight w:val="none"/>
        </w:rPr>
      </w:pPr>
      <w:r>
        <w:t xml:space="preserve">Проводятся предусмотренные проектом испытания функций, интеграций, восстановления из резервной копии и основных эксплуатационных сценариев. Система принимается после устранения критических замечаний.</w:t>
      </w:r>
      <w:r/>
    </w:p>
    <w:p w14:paraId="6D8D355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9. Комплект учебной документации</w:t>
      </w:r>
      <w:r/>
    </w:p>
    <w:p>
      <w:pPr>
        <w:pStyle w:val="723"/>
        <w:pBdr/>
        <w:spacing/>
        <w:ind/>
        <w:rPr/>
      </w:pPr>
      <w:r>
        <w:t xml:space="preserve">ТЗ на АС;</w:t>
      </w:r>
      <w:r/>
    </w:p>
    <w:p>
      <w:pPr>
        <w:pStyle w:val="723"/>
        <w:pBdr/>
        <w:spacing/>
        <w:ind/>
        <w:rPr/>
      </w:pPr>
      <w:r>
        <w:t xml:space="preserve">описание архитектуры;</w:t>
      </w:r>
      <w:r/>
    </w:p>
    <w:p>
      <w:pPr>
        <w:pStyle w:val="723"/>
        <w:pBdr/>
        <w:spacing/>
        <w:ind/>
        <w:rPr/>
      </w:pPr>
      <w:r>
        <w:t xml:space="preserve">описания интеграций;</w:t>
      </w:r>
      <w:r/>
    </w:p>
    <w:p>
      <w:pPr>
        <w:pStyle w:val="723"/>
        <w:pBdr/>
        <w:spacing/>
        <w:ind/>
        <w:rPr/>
      </w:pPr>
      <w:r>
        <w:t xml:space="preserve">ПМИ/программа испытаний;</w:t>
      </w:r>
      <w:r/>
    </w:p>
    <w:p>
      <w:pPr>
        <w:pStyle w:val="723"/>
        <w:pBdr/>
        <w:spacing/>
        <w:ind/>
        <w:rPr/>
      </w:pPr>
      <w:r>
        <w:t xml:space="preserve">руководство оператора;</w:t>
      </w:r>
      <w:r/>
    </w:p>
    <w:p>
      <w:pPr>
        <w:pStyle w:val="723"/>
        <w:pBdr/>
        <w:spacing/>
        <w:ind/>
        <w:rPr/>
      </w:pPr>
      <w:r>
        <w:t xml:space="preserve">руководство администратора / runbook;</w:t>
      </w:r>
      <w:r/>
    </w:p>
    <w:p>
      <w:pPr>
        <w:pStyle w:val="723"/>
        <w:pBdr/>
        <w:spacing/>
        <w:ind/>
        <w:rPr/>
      </w:pPr>
      <w:r>
        <w:t xml:space="preserve">протоколы испытаний;</w:t>
      </w:r>
      <w:r/>
    </w:p>
    <w:p>
      <w:pPr>
        <w:pStyle w:val="723"/>
        <w:pBdr/>
        <w:spacing/>
        <w:ind/>
        <w:rPr/>
      </w:pPr>
      <w:r>
        <w:t xml:space="preserve">план ввода в действие.</w:t>
      </w:r>
      <w:r/>
    </w:p>
    <w:p>
      <w:pPr>
        <w:pBdr/>
        <w:spacing/>
        <w:ind/>
        <w:rPr/>
      </w:pPr>
      <w:r>
        <w:rPr>
          <w:b/>
        </w:rPr>
        <w:t xml:space="preserve">Официальная карточка ГОСТ 34.602-2020: </w:t>
      </w:r>
      <w:hyperlink r:id="rId10" w:tooltip="https://protect.gost.ru/gost/details/5876f733-ee91-431a-8cb6-9e02ea2436ac" w:history="1">
        <w:r>
          <w:rPr>
            <w:color w:val="2f6bff"/>
            <w:u w:val="single"/>
          </w:rPr>
          <w:t xml:space="preserve">https://protect.gost.ru/gost/details/5876f733-ee91-431a-8cb6-9e02ea2436ac</w:t>
        </w:r>
      </w:hyperlink>
      <w:r/>
      <w:r/>
    </w:p>
    <w:sectPr>
      <w:footnotePr/>
      <w:endnotePr/>
      <w:type w:val="nextPage"/>
      <w:pgSz w:h="15840" w:orient="portrait" w:w="12240"/>
      <w:pgMar w:top="850" w:right="850" w:bottom="850" w:left="96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80" w:line="250" w:lineRule="auto"/>
      <w:ind/>
    </w:pPr>
    <w:rPr>
      <w:rFonts w:ascii="Calibri" w:hAnsi="Calibri"/>
      <w:color w:val="1b2430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2f6bff"/>
      <w:sz w:val="30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17345c"/>
      <w:sz w:val="25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18b7a0"/>
      <w:sz w:val="23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Calibri" w:hAnsi="Calibri" w:asciiTheme="majorHAnsi" w:hAnsiTheme="majorHAnsi" w:eastAsiaTheme="majorEastAsia" w:cstheme="majorBidi"/>
      <w:b/>
      <w:color w:val="17345c"/>
      <w:spacing w:val="5"/>
      <w:sz w:val="44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protect.gost.ru/gost/details/5876f733-ee91-431a-8cb6-9e02ea2436ac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2026-09-30T18:23:22Z</dcterms:modified>
  <cp:category/>
</cp:coreProperties>
</file>