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7345c"/>
          <w:sz w:val="42"/>
        </w:rPr>
        <w:t xml:space="preserve">Учебный образец</w:t>
      </w:r>
      <w:r/>
    </w:p>
    <w:p>
      <w:pPr>
        <w:pBdr/>
        <w:spacing/>
        <w:ind/>
        <w:jc w:val="center"/>
        <w:rPr/>
      </w:pPr>
      <w:r>
        <w:rPr>
          <w:b/>
          <w:color w:val="2f6bff"/>
          <w:sz w:val="24"/>
        </w:rPr>
        <w:t xml:space="preserve">Техническое задание на программу «CampusDesk Web»</w:t>
      </w:r>
      <w:r/>
    </w:p>
    <w:p>
      <w:pPr>
        <w:pBdr/>
        <w:spacing/>
        <w:ind/>
        <w:rPr/>
      </w:pPr>
      <w:r/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fff5d6"/>
            <w:tcBorders/>
            <w:tcMar>
              <w:left w:w="130" w:type="dxa"/>
              <w:top w:w="120" w:type="dxa"/>
              <w:right w:w="13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1b2430"/>
                <w:sz w:val="19"/>
              </w:rPr>
              <w:t xml:space="preserve">Цель образца — показать, как требования превращаются в согласованный объект разработки. В реальном проекте состав и оформление определяются применимыми требованиями и договором.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3"/>
        <w:pBdr/>
        <w:spacing/>
        <w:ind/>
        <w:rPr/>
      </w:pPr>
      <w:r>
        <w:t xml:space="preserve">1. Наименование и основание разработки</w:t>
      </w:r>
      <w:r/>
    </w:p>
    <w:p>
      <w:pPr>
        <w:pBdr/>
        <w:spacing/>
        <w:ind/>
        <w:rPr/>
      </w:pPr>
      <w:r>
        <w:t xml:space="preserve">Наименование программы: CampusDesk Web — веб-приложение обработки обращений пользователей в IT-службу колледжа.</w:t>
      </w:r>
      <w:r/>
    </w:p>
    <w:p>
      <w:pPr>
        <w:pBdr/>
        <w:spacing/>
        <w:ind/>
        <w:rPr>
          <w:highlight w:val="none"/>
        </w:rPr>
      </w:pPr>
      <w:r>
        <w:t xml:space="preserve">Основание: учебное решение о создании программного компонента в составе демонстрационной АС CampusDesk.</w:t>
      </w:r>
      <w:r/>
    </w:p>
    <w:p w14:paraId="1A8C640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2. Назначение разработки</w:t>
      </w:r>
      <w:r/>
    </w:p>
    <w:p>
      <w:pPr>
        <w:pBdr/>
        <w:spacing/>
        <w:ind/>
        <w:rPr>
          <w:highlight w:val="none"/>
        </w:rPr>
      </w:pPr>
      <w:r>
        <w:t xml:space="preserve">Программа предназначена для регистрации, обработки и отслеживания обращений студентов и сотрудников по вопросам IT-поддержки.</w:t>
      </w:r>
      <w:r/>
    </w:p>
    <w:p w14:paraId="5906336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3. Пользователи и роли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8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Роль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087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Основные действия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83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Студент/сотрудник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08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Создать обращение, приложить файлы, просмотреть статус и комментарии.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83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Оператор IT-службы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08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Просмотреть очередь, принять обращение, изменить статус, добавить комментарий.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83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Администратор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08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Управлять справочниками и правами операторов.</w:t>
            </w:r>
            <w:r/>
          </w:p>
        </w:tc>
      </w:tr>
    </w:tbl>
    <w:p w14:paraId="30A59B5B">
      <w:pPr>
        <w:pStyle w:val="693"/>
        <w:pBdr/>
        <w:spacing/>
        <w:ind/>
        <w:rPr>
          <w:sz w:val="19"/>
          <w:szCs w:val="19"/>
        </w:rPr>
      </w:pPr>
      <w:r>
        <w:rPr>
          <w:sz w:val="19"/>
          <w:szCs w:val="19"/>
          <w:highlight w:val="none"/>
        </w:rPr>
      </w:r>
      <w:r>
        <w:rPr>
          <w:highlight w:val="none"/>
        </w:rPr>
      </w:r>
      <w:r>
        <w:rPr>
          <w:sz w:val="19"/>
          <w:szCs w:val="19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4. Функциональные требования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Требование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REQ-FUNC-01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Авторизованный пользователь должен иметь возможность создать обращение с темой и описанием.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REQ-FUNC-02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После успешного создания система должна присвоить обращению уникальный идентификатор и показать его пользователю.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REQ-FUNC-03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 обращению допускается прикрепить до 5 файлов размером не более 20 МБ каждый.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REQ-FUNC-04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Оператор должен иметь возможность переводить обращение между статусами new, in_progress, resolved и closed согласно разрешённым переходам.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REQ-FUNC-05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Каждое изменение статуса должно фиксироваться в истории с датой, временем и пользователем.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REQ-FUNC-06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При переходе обращения в статус resolved система должна отправить автору уведомление по e-mail.</w:t>
            </w:r>
            <w:r/>
          </w:p>
        </w:tc>
      </w:tr>
    </w:tbl>
    <w:p>
      <w:pPr>
        <w:pStyle w:val="693"/>
        <w:pBdr/>
        <w:spacing/>
        <w:ind/>
        <w:rPr/>
      </w:pPr>
      <w:r>
        <w:t xml:space="preserve">5. Нефункциональные требования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Требование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REQ-PERF-01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При 300 одновременно активных пользователях 95 % запросов просмотра карточки обращения должны завершаться не более чем за 2 секунды на штатном испытательном стенде.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REQ-SEC-01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Пользователь не должен получать доступ к обращениям другого пользователя, кроме ролей, которым это разрешено политикой доступа.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REQ-LOG-01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Критичные ошибки backend должны записываться в централизованный журнал с correlation ID.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871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REQ-COMP-01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805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Клиентская часть должна поддерживать актуальные версии двух браузеров, указанных в эксплуатационной документации.</w:t>
            </w:r>
            <w:r/>
          </w:p>
        </w:tc>
      </w:tr>
    </w:tbl>
    <w:p w14:paraId="4ACDEB7C">
      <w:pPr>
        <w:pStyle w:val="693"/>
        <w:pBdr/>
        <w:spacing/>
        <w:ind/>
        <w:rPr>
          <w:sz w:val="19"/>
          <w:szCs w:val="19"/>
        </w:rPr>
      </w:pPr>
      <w:r>
        <w:rPr>
          <w:sz w:val="19"/>
          <w:szCs w:val="19"/>
          <w:highlight w:val="none"/>
        </w:rPr>
      </w:r>
      <w:r>
        <w:rPr>
          <w:highlight w:val="none"/>
        </w:rPr>
      </w:r>
      <w:r>
        <w:rPr>
          <w:sz w:val="19"/>
          <w:szCs w:val="19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6. Входные и выходные данные</w:t>
      </w:r>
      <w:r/>
    </w:p>
    <w:p>
      <w:pPr>
        <w:pStyle w:val="723"/>
        <w:pBdr/>
        <w:spacing/>
        <w:ind/>
        <w:rPr/>
      </w:pPr>
      <w:r>
        <w:t xml:space="preserve">Вход: тема, описание, вложения, действия пользователя.</w:t>
      </w:r>
      <w:r/>
    </w:p>
    <w:p>
      <w:pPr>
        <w:pStyle w:val="723"/>
        <w:pBdr/>
        <w:spacing/>
        <w:ind/>
        <w:rPr/>
      </w:pPr>
      <w:r>
        <w:t xml:space="preserve">Выход: ID обращения, состояние, история, уведомления, ответы API.</w:t>
      </w:r>
      <w:r/>
    </w:p>
    <w:p>
      <w:pPr>
        <w:pStyle w:val="723"/>
        <w:pBdr/>
        <w:spacing/>
        <w:ind/>
        <w:rPr/>
      </w:pPr>
      <w:r>
        <w:t xml:space="preserve">Формат интеграционного API: JSON по HTTPS; точный контракт — в OpenAPI Description.</w:t>
      </w:r>
      <w:r/>
    </w:p>
    <w:p w14:paraId="171F54DA">
      <w:pPr>
        <w:pStyle w:val="723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7. Требования к документации</w:t>
      </w:r>
      <w:r/>
    </w:p>
    <w:p>
      <w:pPr>
        <w:pStyle w:val="723"/>
        <w:pBdr/>
        <w:spacing/>
        <w:ind/>
        <w:rPr/>
      </w:pPr>
      <w:r>
        <w:t xml:space="preserve">OpenAPI Description для публичного API;</w:t>
      </w:r>
      <w:r/>
    </w:p>
    <w:p>
      <w:pPr>
        <w:pStyle w:val="723"/>
        <w:pBdr/>
        <w:spacing/>
        <w:ind/>
        <w:rPr/>
      </w:pPr>
      <w:r>
        <w:t xml:space="preserve">ПМИ по ключевым требованиям;</w:t>
      </w:r>
      <w:r/>
    </w:p>
    <w:p>
      <w:pPr>
        <w:pStyle w:val="723"/>
        <w:pBdr/>
        <w:spacing/>
        <w:ind/>
        <w:rPr/>
      </w:pPr>
      <w:r>
        <w:t xml:space="preserve">руководство оператора;</w:t>
      </w:r>
      <w:r/>
    </w:p>
    <w:p>
      <w:pPr>
        <w:pStyle w:val="723"/>
        <w:pBdr/>
        <w:spacing/>
        <w:ind/>
        <w:rPr/>
      </w:pPr>
      <w:r>
        <w:t xml:space="preserve">README для разработчика и развертывания;</w:t>
      </w:r>
      <w:r/>
    </w:p>
    <w:p>
      <w:pPr>
        <w:pStyle w:val="723"/>
        <w:pBdr/>
        <w:spacing/>
        <w:ind/>
        <w:rPr/>
      </w:pPr>
      <w:r>
        <w:t xml:space="preserve">release notes для версий, передаваемых заказчику.</w:t>
      </w:r>
      <w:r/>
    </w:p>
    <w:p w14:paraId="2AD325EE">
      <w:pPr>
        <w:pStyle w:val="723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8. Порядок проверки и приёмки</w:t>
      </w:r>
      <w:r/>
    </w:p>
    <w:p>
      <w:pPr>
        <w:pBdr/>
        <w:spacing/>
        <w:ind/>
        <w:rPr>
          <w:highlight w:val="none"/>
        </w:rPr>
      </w:pPr>
      <w:r>
        <w:t xml:space="preserve">Требования проверяются по утверждённой ПМИ. Для каждого требования должны быть определены один или несколько тестов и объективный критерий PASS/FAIL. Результаты фиксируются в протоколе учебной приёмки.</w:t>
      </w:r>
      <w:r/>
    </w:p>
    <w:p w14:paraId="2D59182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9. Управление изменениями</w:t>
      </w:r>
      <w:r/>
    </w:p>
    <w:p>
      <w:pPr>
        <w:pBdr/>
        <w:spacing/>
        <w:ind/>
        <w:rPr/>
      </w:pPr>
      <w:r>
        <w:t xml:space="preserve">Изменение согласованного требования выполняется через зарегистрированный change request. Изменённые требования получают новую версию, а связанные тесты и документация пересматриваются.</w:t>
      </w:r>
      <w:r/>
    </w:p>
    <w:p>
      <w:pPr>
        <w:pBdr/>
        <w:spacing/>
        <w:ind/>
        <w:rPr/>
      </w:pPr>
      <w:r>
        <w:rPr>
          <w:b/>
        </w:rPr>
        <w:t xml:space="preserve">Официальная карточка ГОСТ 19.201-78: </w:t>
      </w:r>
      <w:hyperlink r:id="rId10" w:tooltip="https://protect.gost.ru/gost/details/b64061cf-6bb2-4c75-aee9-18bb5e26e554" w:history="1">
        <w:r>
          <w:rPr>
            <w:color w:val="2f6bff"/>
            <w:u w:val="single"/>
          </w:rPr>
          <w:t xml:space="preserve">https://protect.gost.ru/gost/details/b64061cf-6bb2-4c75-aee9-18bb5e26e554</w:t>
        </w:r>
      </w:hyperlink>
      <w:r/>
      <w:r/>
    </w:p>
    <w:sectPr>
      <w:footnotePr/>
      <w:endnotePr/>
      <w:type w:val="nextPage"/>
      <w:pgSz w:h="15840" w:orient="portrait" w:w="12240"/>
      <w:pgMar w:top="850" w:right="850" w:bottom="850" w:left="96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80" w:line="250" w:lineRule="auto"/>
      <w:ind/>
    </w:pPr>
    <w:rPr>
      <w:rFonts w:ascii="Calibri" w:hAnsi="Calibri"/>
      <w:color w:val="1b2430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80" w:before="160"/>
      <w:ind/>
      <w:outlineLvl w:val="0"/>
    </w:pPr>
    <w:rPr>
      <w:rFonts w:ascii="Calibri" w:hAnsi="Calibri" w:asciiTheme="majorHAnsi" w:hAnsiTheme="majorHAnsi" w:eastAsiaTheme="majorEastAsia" w:cstheme="majorBidi"/>
      <w:b/>
      <w:bCs/>
      <w:color w:val="2f6bff"/>
      <w:sz w:val="30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Calibri" w:hAnsi="Calibri" w:asciiTheme="majorHAnsi" w:hAnsiTheme="majorHAnsi" w:eastAsiaTheme="majorEastAsia" w:cstheme="majorBidi"/>
      <w:b/>
      <w:bCs/>
      <w:color w:val="17345c"/>
      <w:sz w:val="25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Calibri" w:hAnsi="Calibri" w:asciiTheme="majorHAnsi" w:hAnsiTheme="majorHAnsi" w:eastAsiaTheme="majorEastAsia" w:cstheme="majorBidi"/>
      <w:b/>
      <w:bCs/>
      <w:color w:val="18b7a0"/>
      <w:sz w:val="23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80" w:before="160" w:line="240" w:lineRule="auto"/>
      <w:ind/>
      <w:contextualSpacing w:val="true"/>
    </w:pPr>
    <w:rPr>
      <w:rFonts w:ascii="Calibri" w:hAnsi="Calibri" w:asciiTheme="majorHAnsi" w:hAnsiTheme="majorHAnsi" w:eastAsiaTheme="majorEastAsia" w:cstheme="majorBidi"/>
      <w:b/>
      <w:color w:val="17345c"/>
      <w:spacing w:val="5"/>
      <w:sz w:val="44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protect.gost.ru/gost/details/b64061cf-6bb2-4c75-aee9-18bb5e26e55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2026-09-30T18:22:02Z</dcterms:modified>
  <cp:category/>
</cp:coreProperties>
</file>