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7345c"/>
          <w:sz w:val="42"/>
        </w:rPr>
        <w:t xml:space="preserve">Учебные примеры</w:t>
      </w:r>
      <w:r/>
    </w:p>
    <w:p>
      <w:pPr>
        <w:pBdr/>
        <w:spacing/>
        <w:ind/>
        <w:jc w:val="center"/>
        <w:rPr/>
      </w:pPr>
      <w:r>
        <w:rPr>
          <w:b/>
          <w:color w:val="2f6bff"/>
          <w:sz w:val="24"/>
        </w:rPr>
        <w:t xml:space="preserve">Современная IT-документация CampusDesk</w:t>
      </w:r>
      <w:r/>
    </w:p>
    <w:p>
      <w:pPr>
        <w:pBdr/>
        <w:spacing/>
        <w:ind/>
        <w:jc w:val="center"/>
        <w:rPr/>
      </w:pPr>
      <w:r>
        <w:rPr>
          <w:color w:val="657080"/>
          <w:sz w:val="18"/>
        </w:rPr>
        <w:t xml:space="preserve">README • OpenAPI • ADR • Runbook • Changelog</w:t>
      </w:r>
      <w:r/>
    </w:p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eaf1ff"/>
            <w:tcBorders/>
            <w:tcMar>
              <w:left w:w="130" w:type="dxa"/>
              <w:top w:w="120" w:type="dxa"/>
              <w:right w:w="13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1b2430"/>
                <w:sz w:val="19"/>
              </w:rPr>
              <w:t xml:space="preserve">Эти артефакты закрывают конкретные информационные потребности современной разработки. Формальный проект может использовать их одновременно с ТЗ, ПМИ и эксплуатационными документами.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t xml:space="preserve">1. README.md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# CampusDesk API</w:t>
              <w:br/>
              <w:br/>
              <w:t xml:space="preserve">Сервис обработки обращений IT</w:t>
            </w:r>
            <w:r>
              <w:rPr>
                <w:rFonts w:ascii="Consolas" w:hAnsi="Consolas"/>
                <w:color w:val="1b2430"/>
                <w:sz w:val="18"/>
              </w:rPr>
              <w:t xml:space="preserve">-службы.</w:t>
              <w:br/>
              <w:br/>
              <w:t xml:space="preserve">## Быстрый старт</w:t>
              <w:br/>
              <w:t xml:space="preserve">1. Скопировать `.env.example` → `.env`.</w:t>
              <w:br/>
              <w:t xml:space="preserve">2. Запустить `docker compose up -d`.</w:t>
              <w:br/>
              <w:t xml:space="preserve">3. Выполнить миграции.</w:t>
              <w:br/>
              <w:t xml:space="preserve">4. Открыть http://localhost:8080/health.</w:t>
              <w:br/>
              <w:br/>
              <w:t xml:space="preserve">## Тесты</w:t>
              <w:br/>
              <w:t xml:space="preserve">`pytest -q`</w:t>
              <w:br/>
              <w:br/>
              <w:t xml:space="preserve">## API</w:t>
              <w:br/>
              <w:t xml:space="preserve">OpenAPI: `docs/openapi.yaml`</w:t>
              <w:br/>
              <w:br/>
              <w:t xml:space="preserve">## Поддержка</w:t>
              <w:br/>
              <w:t xml:space="preserve">#campusdesk-dev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t xml:space="preserve">2. OpenAPI Description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openapi: 3.2.1</w:t>
              <w:br/>
              <w:t xml:space="preserve">info:</w:t>
              <w:br/>
              <w:t xml:space="preserve">  title: CampusDesk API</w:t>
              <w:br/>
              <w:t xml:space="preserve">  version: 1.0.0</w:t>
              <w:br/>
              <w:t xml:space="preserve">paths:</w:t>
              <w:br/>
              <w:t xml:space="preserve">  /tickets/{id}:</w:t>
              <w:br/>
              <w:t xml:space="preserve">    get:</w:t>
              <w:br/>
              <w:t xml:space="preserve">      summary:</w:t>
            </w:r>
            <w:r>
              <w:rPr>
                <w:rFonts w:ascii="Consolas" w:hAnsi="Consolas"/>
                <w:color w:val="1b2430"/>
                <w:sz w:val="18"/>
              </w:rPr>
              <w:t xml:space="preserve"> Получить обращение</w:t>
              <w:br/>
              <w:t xml:space="preserve">      parameters:</w:t>
              <w:br/>
              <w:t xml:space="preserve">        - name: id</w:t>
              <w:br/>
              <w:t xml:space="preserve">          in: path</w:t>
              <w:br/>
              <w:t xml:space="preserve">          required: true</w:t>
              <w:br/>
              <w:t xml:space="preserve">          schema: { type: integer }</w:t>
              <w:br/>
              <w:t xml:space="preserve">      responses:</w:t>
              <w:br/>
              <w:t xml:space="preserve">        '200': { description: Обращение найдено }</w:t>
              <w:br/>
              <w:t xml:space="preserve">        '404': { description: Обращение не найдено }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/>
      </w:pPr>
      <w:r>
        <w:t xml:space="preserve">OpenAPI может быть источником для интерактивной документации, генерации SDK и тестов. Важно версионировать описание вместе с API.</w:t>
      </w:r>
      <w:r/>
    </w:p>
    <w:p>
      <w:pPr>
        <w:pStyle w:val="693"/>
        <w:pBdr/>
        <w:spacing/>
        <w:ind/>
        <w:rPr/>
      </w:pPr>
      <w:r>
        <w:t xml:space="preserve">3. ADR-007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# ADR-007: S3-хранилище для вложений</w:t>
              <w:br/>
              <w:t xml:space="preserve">Статус: принято</w:t>
              <w:br/>
              <w:t xml:space="preserve">Дата: 2026-09-30</w:t>
              <w:br/>
              <w:br/>
              <w:t xml:space="preserve">Контекст: контейнеры приложения являются эфемерными; объём</w:t>
            </w:r>
            <w:r>
              <w:rPr>
                <w:rFonts w:ascii="Consolas" w:hAnsi="Consolas"/>
                <w:color w:val="1b2430"/>
                <w:sz w:val="18"/>
              </w:rPr>
              <w:t xml:space="preserve"> вложений растёт.</w:t>
              <w:br/>
              <w:br/>
              <w:t xml:space="preserve">Решение: хранить файлы в S3-совместимом объектном хранилище, в БД хранить метаданные и ключ объекта.</w:t>
              <w:br/>
              <w:br/>
              <w:t xml:space="preserve">Альтернативы: локальная ФС; BLOB в PostgreSQL.</w:t>
              <w:br/>
              <w:br/>
              <w:t xml:space="preserve">Последствия: появляется зависимость от object storage; нужны lifecycle policy и backup.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t xml:space="preserve">4. Runbook: API отвечает 503</w:t>
      </w:r>
      <w:r/>
    </w:p>
    <w:p>
      <w:pPr>
        <w:pStyle w:val="726"/>
        <w:pBdr/>
        <w:spacing/>
        <w:ind/>
        <w:rPr/>
      </w:pPr>
      <w:r>
        <w:t xml:space="preserve">Проверить `/health` и `/ready`.</w:t>
      </w:r>
      <w:r/>
    </w:p>
    <w:p>
      <w:pPr>
        <w:pStyle w:val="726"/>
        <w:pBdr/>
        <w:spacing/>
        <w:ind/>
        <w:rPr/>
      </w:pPr>
      <w:r>
        <w:t xml:space="preserve">Проверить доступность PostgreSQL.</w:t>
      </w:r>
      <w:r/>
    </w:p>
    <w:p>
      <w:pPr>
        <w:pStyle w:val="726"/>
        <w:pBdr/>
        <w:spacing/>
        <w:ind/>
        <w:rPr/>
      </w:pPr>
      <w:r>
        <w:t xml:space="preserve">Проверить метрики connection pool.</w:t>
      </w:r>
      <w:r/>
    </w:p>
    <w:p>
      <w:pPr>
        <w:pStyle w:val="726"/>
        <w:pBdr/>
        <w:spacing/>
        <w:ind/>
        <w:rPr/>
      </w:pPr>
      <w:r>
        <w:t xml:space="preserve">Проверить последние ERROR-логи по correlation ID.</w:t>
      </w:r>
      <w:r/>
    </w:p>
    <w:p>
      <w:pPr>
        <w:pStyle w:val="726"/>
        <w:pBdr/>
        <w:spacing/>
        <w:ind/>
        <w:rPr/>
      </w:pPr>
      <w:r>
        <w:t xml:space="preserve">Если БД доступна, а экземпляр завис — выполнить штатный rolling restart.</w:t>
      </w:r>
      <w:r/>
    </w:p>
    <w:p>
      <w:pPr>
        <w:pStyle w:val="726"/>
        <w:pBdr/>
        <w:spacing/>
        <w:ind/>
        <w:rPr/>
      </w:pPr>
      <w:r>
        <w:t xml:space="preserve">Если проблема повторяется — эскалировать и открыть incident ticket.</w:t>
      </w:r>
      <w:r/>
    </w:p>
    <w:p w14:paraId="3115D7D6">
      <w:pPr>
        <w:pStyle w:val="726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5. CHANGELOG.md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## [1.4.0] — 2026-09-30</w:t>
              <w:br/>
              <w:t xml:space="preserve">### Added</w:t>
              <w:br/>
              <w:t xml:space="preserve">- История изменения статусов.</w:t>
              <w:br/>
              <w:t xml:space="preserve">- Фильтр обращений по исполнителю.</w:t>
              <w:br/>
              <w:br/>
              <w:t xml:space="preserve">### Changed</w:t>
              <w:br/>
              <w:t xml:space="preserve">- Лимит вложений увеличен до 20 МБ.</w:t>
              <w:br/>
              <w:br/>
              <w:t xml:space="preserve">### Fixed</w:t>
              <w:br/>
              <w:t xml:space="preserve">- Исправлена потеря фильтра после возврата из карточки.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t xml:space="preserve">6. Что каждый артефакт отвечает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94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Артефакт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73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Главный вопрос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9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README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7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Как понять проект и начать с ним работать?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9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OpenAPI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7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Как выглядит контракт HTTP API?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9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ADR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7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Почему принято это архитектурное решение?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9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Runbook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7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Что делать в конкретной эксплуатационной ситуации?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9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Changelog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7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Что изменилось между версиями?</w:t>
            </w:r>
            <w:r/>
          </w:p>
        </w:tc>
      </w:tr>
    </w:tbl>
    <w:p>
      <w:pPr>
        <w:pBdr/>
        <w:spacing/>
        <w:ind/>
        <w:rPr/>
      </w:pPr>
      <w:r>
        <w:rPr>
          <w:b/>
        </w:rPr>
        <w:t xml:space="preserve">OpenAPI Specification (latest): </w:t>
      </w:r>
      <w:hyperlink r:id="rId10" w:tooltip="https://spec.openapis.org/oas/latest.html" w:history="1">
        <w:r>
          <w:rPr>
            <w:color w:val="2f6bff"/>
            <w:u w:val="single"/>
          </w:rPr>
          <w:t xml:space="preserve">https://spec.openapis.org/oas/latest.html</w:t>
        </w:r>
      </w:hyperlink>
      <w:r/>
      <w:r/>
    </w:p>
    <w:sectPr>
      <w:footnotePr/>
      <w:endnotePr/>
      <w:type w:val="nextPage"/>
      <w:pgSz w:h="15840" w:orient="portrait" w:w="12240"/>
      <w:pgMar w:top="850" w:right="850" w:bottom="850" w:left="96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ymbol">
    <w:panose1 w:val="05010000000000000000"/>
  </w:font>
  <w:font w:name="Courier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80" w:line="250" w:lineRule="auto"/>
      <w:ind/>
    </w:pPr>
    <w:rPr>
      <w:rFonts w:ascii="Calibri" w:hAnsi="Calibri"/>
      <w:color w:val="1b2430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80" w:before="160"/>
      <w:ind/>
      <w:outlineLvl w:val="0"/>
    </w:pPr>
    <w:rPr>
      <w:rFonts w:ascii="Calibri" w:hAnsi="Calibri" w:asciiTheme="majorHAnsi" w:hAnsiTheme="majorHAnsi" w:eastAsiaTheme="majorEastAsia" w:cstheme="majorBidi"/>
      <w:b/>
      <w:bCs/>
      <w:color w:val="2f6bff"/>
      <w:sz w:val="30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Calibri" w:hAnsi="Calibri" w:asciiTheme="majorHAnsi" w:hAnsiTheme="majorHAnsi" w:eastAsiaTheme="majorEastAsia" w:cstheme="majorBidi"/>
      <w:b/>
      <w:bCs/>
      <w:color w:val="17345c"/>
      <w:sz w:val="25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18b7a0"/>
      <w:sz w:val="23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80" w:before="160" w:line="240" w:lineRule="auto"/>
      <w:ind/>
      <w:contextualSpacing w:val="true"/>
    </w:pPr>
    <w:rPr>
      <w:rFonts w:ascii="Calibri" w:hAnsi="Calibri" w:asciiTheme="majorHAnsi" w:hAnsiTheme="majorHAnsi" w:eastAsiaTheme="majorEastAsia" w:cstheme="majorBidi"/>
      <w:b/>
      <w:color w:val="17345c"/>
      <w:spacing w:val="5"/>
      <w:sz w:val="44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spec.openapis.org/oas/latest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2026-09-30T18:20:47Z</dcterms:modified>
  <cp:category/>
</cp:coreProperties>
</file>