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All Models Sizing Tool</w:t>
      </w:r>
    </w:p>
    <w:p>
      <w:pPr>
        <w:pStyle w:val="Author"/>
        <w:rPr/>
      </w:pPr>
      <w:r>
        <w:rPr/>
        <w:t>Algorithm &amp; Logic Summary</w:t>
      </w:r>
    </w:p>
    <w:p>
      <w:pPr>
        <w:pStyle w:val="FirstParagraph"/>
        <w:rPr/>
      </w:pPr>
      <w:r>
        <w:rPr/>
        <w:t>Describes the behaviour of tools/all-models/algorithm.py and its wrapper as built into dist/usg-all-models.js (algorithm sha256:d04e6a174f6b, version 1.1.0). The other seven sizing tools hold their own copies of this logic and differ in places; this document covers the All Models tool only.</w:t>
      </w:r>
    </w:p>
    <w:p>
      <w:pPr>
        <w:pStyle w:val="Heading1"/>
        <w:rPr/>
      </w:pPr>
      <w:bookmarkStart w:id="0" w:name="overview"/>
      <w:r>
        <w:rPr/>
        <w:t>1. Overview</w:t>
      </w:r>
    </w:p>
    <w:p>
      <w:pPr>
        <w:pStyle w:val="FirstParagraph"/>
        <w:rPr/>
      </w:pPr>
      <w:r>
        <w:rPr/>
        <w:t>The All Models Sizing Tool selects a USG regulator for a given application. The output includes the model, body size, orifice, spring, calculated capacity and Holland part number.</w:t>
      </w:r>
    </w:p>
    <w:p>
      <w:pPr>
        <w:pStyle w:val="BodyText"/>
        <w:rPr/>
      </w:pPr>
      <w:r>
        <w:rPr/>
        <w:t>Six regulator families are involved:</w:t>
      </w:r>
    </w:p>
    <w:p>
      <w:pPr>
        <w:pStyle w:val="Compact"/>
        <w:numPr>
          <w:ilvl w:val="0"/>
          <w:numId w:val="2"/>
        </w:numPr>
        <w:rPr/>
      </w:pPr>
      <w:r>
        <w:rPr/>
        <w:t>Model 143</w:t>
      </w:r>
    </w:p>
    <w:p>
      <w:pPr>
        <w:pStyle w:val="Compact"/>
        <w:numPr>
          <w:ilvl w:val="0"/>
          <w:numId w:val="2"/>
        </w:numPr>
        <w:rPr/>
      </w:pPr>
      <w:r>
        <w:rPr/>
        <w:t>Model 496</w:t>
      </w:r>
    </w:p>
    <w:p>
      <w:pPr>
        <w:pStyle w:val="Compact"/>
        <w:numPr>
          <w:ilvl w:val="0"/>
          <w:numId w:val="2"/>
        </w:numPr>
        <w:rPr/>
      </w:pPr>
      <w:r>
        <w:rPr/>
        <w:t>Model 243</w:t>
      </w:r>
    </w:p>
    <w:p>
      <w:pPr>
        <w:pStyle w:val="Compact"/>
        <w:numPr>
          <w:ilvl w:val="0"/>
          <w:numId w:val="2"/>
        </w:numPr>
        <w:rPr/>
      </w:pPr>
      <w:r>
        <w:rPr/>
        <w:t>Model 046</w:t>
      </w:r>
    </w:p>
    <w:p>
      <w:pPr>
        <w:pStyle w:val="Compact"/>
        <w:numPr>
          <w:ilvl w:val="0"/>
          <w:numId w:val="2"/>
        </w:numPr>
        <w:rPr/>
      </w:pPr>
      <w:r>
        <w:rPr/>
        <w:t>Model 441/461</w:t>
      </w:r>
    </w:p>
    <w:p>
      <w:pPr>
        <w:pStyle w:val="Compact"/>
        <w:numPr>
          <w:ilvl w:val="0"/>
          <w:numId w:val="2"/>
        </w:numPr>
        <w:rPr/>
      </w:pPr>
      <w:r>
        <w:rPr/>
        <w:t>Model 121/122</w:t>
      </w:r>
    </w:p>
    <w:p>
      <w:pPr>
        <w:pStyle w:val="FirstParagraph"/>
        <w:rPr/>
      </w:pPr>
      <w:r>
        <w:rPr>
          <w:b/>
          <w:bCs/>
        </w:rPr>
        <w:t>All six are sized on every run.</w:t>
      </w:r>
      <w:r>
        <w:rPr/>
        <w:t xml:space="preserve"> Each returns whether it can meet the requirement, and a fixed priority then decides which result is presented — the tool does not stop at the first family that works. The priority order is 143, 496, then 243 or 046, then 441/461 or 121/122; see Section 9 for the exact rules, including the two cases where an input changes the order.</w:t>
      </w:r>
      <w:bookmarkEnd w:id="0"/>
    </w:p>
    <w:p>
      <w:pPr>
        <w:pStyle w:val="Heading1"/>
        <w:rPr/>
      </w:pPr>
      <w:r>
        <w:rPr/>
        <w:t>2. Inputs</w:t>
      </w:r>
    </w:p>
    <w:tbl>
      <w:tblPr>
        <w:tblW w:w="5000" w:type="pct"/>
        <w:jc w:val="start"/>
        <w:tblInd w:w="0" w:type="dxa"/>
        <w:tblLayout w:type="fixed"/>
        <w:tblCellMar>
          <w:top w:w="0" w:type="dxa"/>
          <w:start w:w="108" w:type="dxa"/>
          <w:bottom w:w="0" w:type="dxa"/>
          <w:end w:w="108" w:type="dxa"/>
        </w:tblCellMar>
      </w:tblPr>
      <w:tblGrid>
        <w:gridCol w:w="4680"/>
        <w:gridCol w:w="4680"/>
      </w:tblGrid>
      <w:tr>
        <w:trPr>
          <w:tblHeader w:val="true"/>
        </w:trPr>
        <w:tc>
          <w:tcPr>
            <w:tcW w:w="4680" w:type="dxa"/>
            <w:tcBorders>
              <w:bottom w:val="single" w:sz="6" w:space="0" w:color="000000"/>
            </w:tcBorders>
            <w:vAlign w:val="bottom"/>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Input</w:t>
            </w:r>
          </w:p>
        </w:tc>
        <w:tc>
          <w:tcPr>
            <w:tcW w:w="4680" w:type="dxa"/>
            <w:tcBorders>
              <w:bottom w:val="single" w:sz="6" w:space="0" w:color="000000"/>
            </w:tcBorders>
            <w:vAlign w:val="bottom"/>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How it is used</w:t>
            </w:r>
          </w:p>
        </w:tc>
      </w:tr>
      <w:tr>
        <w:trPr/>
        <w:tc>
          <w:tcPr>
            <w:tcW w:w="4680" w:type="dxa"/>
            <w:tcBorders/>
          </w:tcPr>
          <w:p>
            <w:pPr>
              <w:pStyle w:val="Compact"/>
              <w:widowControl/>
              <w:spacing w:before="36" w:after="36"/>
              <w:jc w:val="start"/>
              <w:rPr>
                <w:rFonts w:ascii="Cambria" w:hAnsi="Cambria" w:eastAsia="Cambria"/>
                <w:b/>
                <w:bCs/>
                <w:kern w:val="0"/>
                <w:sz w:val="24"/>
                <w:szCs w:val="24"/>
                <w:lang w:val="en-US" w:eastAsia="en-US" w:bidi="ar-SA"/>
              </w:rPr>
            </w:pPr>
            <w:r>
              <w:rPr>
                <w:rFonts w:eastAsia="Cambria"/>
                <w:b/>
                <w:bCs/>
                <w:kern w:val="0"/>
                <w:sz w:val="24"/>
                <w:szCs w:val="24"/>
                <w:lang w:val="en-US" w:eastAsia="en-US" w:bidi="ar-SA"/>
              </w:rPr>
              <w:t>Inlet Pressure</w:t>
            </w:r>
          </w:p>
        </w:tc>
        <w:tc>
          <w:tcPr>
            <w:tcW w:w="468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The pressure entering the regulator. Units: psi, bar, or kPa. Bar is converted to psi by multiplying by 14.5; kPa by dividing by 6.89476.</w:t>
            </w:r>
          </w:p>
        </w:tc>
      </w:tr>
      <w:tr>
        <w:trPr/>
        <w:tc>
          <w:tcPr>
            <w:tcW w:w="4680" w:type="dxa"/>
            <w:tcBorders/>
          </w:tcPr>
          <w:p>
            <w:pPr>
              <w:pStyle w:val="Compact"/>
              <w:widowControl/>
              <w:spacing w:before="36" w:after="36"/>
              <w:jc w:val="start"/>
              <w:rPr>
                <w:rFonts w:ascii="Cambria" w:hAnsi="Cambria" w:eastAsia="Cambria"/>
                <w:b/>
                <w:bCs/>
                <w:kern w:val="0"/>
                <w:sz w:val="24"/>
                <w:szCs w:val="24"/>
                <w:lang w:val="en-US" w:eastAsia="en-US" w:bidi="ar-SA"/>
              </w:rPr>
            </w:pPr>
            <w:r>
              <w:rPr>
                <w:rFonts w:eastAsia="Cambria"/>
                <w:b/>
                <w:bCs/>
                <w:kern w:val="0"/>
                <w:sz w:val="24"/>
                <w:szCs w:val="24"/>
                <w:lang w:val="en-US" w:eastAsia="en-US" w:bidi="ar-SA"/>
              </w:rPr>
              <w:t>Outlet Pressure</w:t>
            </w:r>
          </w:p>
        </w:tc>
        <w:tc>
          <w:tcPr>
            <w:tcW w:w="468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The desired downstream set pressure. Units: psi, in wc (inches water column), oz, bar, or kPa. In wc is divided by 28; oz by 16; bar is multiplied by 14.5; kPa is divided by 6.89476.</w:t>
            </w:r>
          </w:p>
        </w:tc>
      </w:tr>
      <w:tr>
        <w:trPr/>
        <w:tc>
          <w:tcPr>
            <w:tcW w:w="4680" w:type="dxa"/>
            <w:tcBorders/>
          </w:tcPr>
          <w:p>
            <w:pPr>
              <w:pStyle w:val="Compact"/>
              <w:widowControl/>
              <w:spacing w:before="36" w:after="36"/>
              <w:jc w:val="start"/>
              <w:rPr>
                <w:rFonts w:ascii="Cambria" w:hAnsi="Cambria" w:eastAsia="Cambria"/>
                <w:b/>
                <w:bCs/>
                <w:kern w:val="0"/>
                <w:sz w:val="24"/>
                <w:szCs w:val="24"/>
                <w:lang w:val="en-US" w:eastAsia="en-US" w:bidi="ar-SA"/>
              </w:rPr>
            </w:pPr>
            <w:r>
              <w:rPr>
                <w:rFonts w:eastAsia="Cambria"/>
                <w:b/>
                <w:bCs/>
                <w:kern w:val="0"/>
                <w:sz w:val="24"/>
                <w:szCs w:val="24"/>
                <w:lang w:val="en-US" w:eastAsia="en-US" w:bidi="ar-SA"/>
              </w:rPr>
              <w:t>Max Gas Load / Flow Rate</w:t>
            </w:r>
          </w:p>
        </w:tc>
        <w:tc>
          <w:tcPr>
            <w:tcW w:w="468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The maximum flow the system requires, truncated to a whole number. Units: CFH, CMH, or BTUH. CMH is multiplied by 35.3147. BTUH is divided by 1,000 for natural gas or 2,516 for propane. BTUH cannot be used with any other gas.</w:t>
            </w:r>
          </w:p>
        </w:tc>
      </w:tr>
      <w:tr>
        <w:trPr/>
        <w:tc>
          <w:tcPr>
            <w:tcW w:w="4680" w:type="dxa"/>
            <w:tcBorders/>
          </w:tcPr>
          <w:p>
            <w:pPr>
              <w:pStyle w:val="Compact"/>
              <w:widowControl/>
              <w:spacing w:before="36" w:after="36"/>
              <w:jc w:val="start"/>
              <w:rPr>
                <w:rFonts w:ascii="Cambria" w:hAnsi="Cambria" w:eastAsia="Cambria"/>
                <w:b/>
                <w:bCs/>
                <w:kern w:val="0"/>
                <w:sz w:val="24"/>
                <w:szCs w:val="24"/>
                <w:lang w:val="en-US" w:eastAsia="en-US" w:bidi="ar-SA"/>
              </w:rPr>
            </w:pPr>
            <w:r>
              <w:rPr>
                <w:rFonts w:eastAsia="Cambria"/>
                <w:b/>
                <w:bCs/>
                <w:kern w:val="0"/>
                <w:sz w:val="24"/>
                <w:szCs w:val="24"/>
                <w:lang w:val="en-US" w:eastAsia="en-US" w:bidi="ar-SA"/>
              </w:rPr>
              <w:t>Min Gas Load / Flow Rate</w:t>
            </w:r>
          </w:p>
        </w:tc>
        <w:tc>
          <w:tcPr>
            <w:tcW w:w="468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The minimum flow the system may operate at. Used only by Model 441/461 and Model 121/122, for their turndown checks. If entered as 0 it defaults to the max flow rate.</w:t>
            </w:r>
          </w:p>
        </w:tc>
      </w:tr>
      <w:tr>
        <w:trPr/>
        <w:tc>
          <w:tcPr>
            <w:tcW w:w="4680" w:type="dxa"/>
            <w:tcBorders/>
          </w:tcPr>
          <w:p>
            <w:pPr>
              <w:pStyle w:val="Compact"/>
              <w:widowControl/>
              <w:spacing w:before="36" w:after="36"/>
              <w:jc w:val="start"/>
              <w:rPr>
                <w:rFonts w:ascii="Cambria" w:hAnsi="Cambria" w:eastAsia="Cambria"/>
                <w:b/>
                <w:bCs/>
                <w:kern w:val="0"/>
                <w:sz w:val="24"/>
                <w:szCs w:val="24"/>
                <w:lang w:val="en-US" w:eastAsia="en-US" w:bidi="ar-SA"/>
              </w:rPr>
            </w:pPr>
            <w:r>
              <w:rPr>
                <w:rFonts w:eastAsia="Cambria"/>
                <w:b/>
                <w:bCs/>
                <w:kern w:val="0"/>
                <w:sz w:val="24"/>
                <w:szCs w:val="24"/>
                <w:lang w:val="en-US" w:eastAsia="en-US" w:bidi="ar-SA"/>
              </w:rPr>
              <w:t>Max Allowable Inlet Pressure (MAIP)</w:t>
            </w:r>
          </w:p>
        </w:tc>
        <w:tc>
          <w:tcPr>
            <w:tcW w:w="468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Always entered in psi. The regulator is sized on the inlet pressure, but the configuration must also be rated for this pressure — see Section 6. If entered as 0 it defaults to the inlet pressure. Labelled MAOP in some of the code.</w:t>
            </w:r>
          </w:p>
        </w:tc>
      </w:tr>
      <w:tr>
        <w:trPr/>
        <w:tc>
          <w:tcPr>
            <w:tcW w:w="4680" w:type="dxa"/>
            <w:tcBorders/>
          </w:tcPr>
          <w:p>
            <w:pPr>
              <w:pStyle w:val="Compact"/>
              <w:widowControl/>
              <w:spacing w:before="36" w:after="36"/>
              <w:jc w:val="start"/>
              <w:rPr>
                <w:rFonts w:ascii="Cambria" w:hAnsi="Cambria" w:eastAsia="Cambria"/>
                <w:b/>
                <w:bCs/>
                <w:kern w:val="0"/>
                <w:sz w:val="24"/>
                <w:szCs w:val="24"/>
                <w:lang w:val="en-US" w:eastAsia="en-US" w:bidi="ar-SA"/>
              </w:rPr>
            </w:pPr>
            <w:r>
              <w:rPr>
                <w:rFonts w:eastAsia="Cambria"/>
                <w:b/>
                <w:bCs/>
                <w:kern w:val="0"/>
                <w:sz w:val="24"/>
                <w:szCs w:val="24"/>
                <w:lang w:val="en-US" w:eastAsia="en-US" w:bidi="ar-SA"/>
              </w:rPr>
              <w:t>Desired Pipe Size</w:t>
            </w:r>
          </w:p>
        </w:tc>
        <w:tc>
          <w:tcPr>
            <w:tcW w:w="468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N/A, 3/8”, 1/2”, 3/4”, 1”, 1-1/4”, 1-1/2”, 2”, 2-1/2”, or 3”. When specified, body sizes matching the pipe size are tried first; otherwise each family uses its own default body order. Model 441/461 ignores this input.</w:t>
            </w:r>
          </w:p>
        </w:tc>
      </w:tr>
      <w:tr>
        <w:trPr/>
        <w:tc>
          <w:tcPr>
            <w:tcW w:w="4680" w:type="dxa"/>
            <w:tcBorders/>
          </w:tcPr>
          <w:p>
            <w:pPr>
              <w:pStyle w:val="Compact"/>
              <w:widowControl/>
              <w:spacing w:before="36" w:after="36"/>
              <w:jc w:val="start"/>
              <w:rPr>
                <w:rFonts w:ascii="Cambria" w:hAnsi="Cambria" w:eastAsia="Cambria"/>
                <w:b/>
                <w:bCs/>
                <w:kern w:val="0"/>
                <w:sz w:val="24"/>
                <w:szCs w:val="24"/>
                <w:lang w:val="en-US" w:eastAsia="en-US" w:bidi="ar-SA"/>
              </w:rPr>
            </w:pPr>
            <w:r>
              <w:rPr>
                <w:rFonts w:eastAsia="Cambria"/>
                <w:b/>
                <w:bCs/>
                <w:kern w:val="0"/>
                <w:sz w:val="24"/>
                <w:szCs w:val="24"/>
                <w:lang w:val="en-US" w:eastAsia="en-US" w:bidi="ar-SA"/>
              </w:rPr>
              <w:t>Overpressure Protection Required</w:t>
            </w:r>
          </w:p>
        </w:tc>
        <w:tc>
          <w:tcPr>
            <w:tcW w:w="468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Yes or No. If Yes, the user chooses between IRV (Internal Relief Valve) and Monitor regulator. If No, the user is asked whether to select a regulator with a partial IRV.</w:t>
            </w:r>
          </w:p>
        </w:tc>
      </w:tr>
      <w:tr>
        <w:trPr/>
        <w:tc>
          <w:tcPr>
            <w:tcW w:w="4680" w:type="dxa"/>
            <w:tcBorders/>
          </w:tcPr>
          <w:p>
            <w:pPr>
              <w:pStyle w:val="Compact"/>
              <w:widowControl/>
              <w:spacing w:before="36" w:after="36"/>
              <w:jc w:val="start"/>
              <w:rPr>
                <w:rFonts w:ascii="Cambria" w:hAnsi="Cambria" w:eastAsia="Cambria"/>
                <w:b/>
                <w:bCs/>
                <w:kern w:val="0"/>
                <w:sz w:val="24"/>
                <w:szCs w:val="24"/>
                <w:lang w:val="en-US" w:eastAsia="en-US" w:bidi="ar-SA"/>
              </w:rPr>
            </w:pPr>
            <w:r>
              <w:rPr>
                <w:rFonts w:eastAsia="Cambria"/>
                <w:b/>
                <w:bCs/>
                <w:kern w:val="0"/>
                <w:sz w:val="24"/>
                <w:szCs w:val="24"/>
                <w:lang w:val="en-US" w:eastAsia="en-US" w:bidi="ar-SA"/>
              </w:rPr>
              <w:t>IRV Protect Pressure</w:t>
            </w:r>
          </w:p>
        </w:tc>
        <w:tc>
          <w:tcPr>
            <w:tcW w:w="468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Shown only when IRV is selected; default 2.0 psi. The downstream pressure the IRV must hold to. A candidate passes only if its interpolated pressure build-up plus the outlet pressure is at or below this value. It also caps the monitor setpoint wherever a monitor is sized.</w:t>
            </w:r>
          </w:p>
        </w:tc>
      </w:tr>
      <w:tr>
        <w:trPr/>
        <w:tc>
          <w:tcPr>
            <w:tcW w:w="4680" w:type="dxa"/>
            <w:tcBorders/>
          </w:tcPr>
          <w:p>
            <w:pPr>
              <w:pStyle w:val="Compact"/>
              <w:widowControl/>
              <w:spacing w:before="36" w:after="36"/>
              <w:jc w:val="start"/>
              <w:rPr>
                <w:rFonts w:ascii="Cambria" w:hAnsi="Cambria" w:eastAsia="Cambria"/>
                <w:b/>
                <w:bCs/>
                <w:kern w:val="0"/>
                <w:sz w:val="24"/>
                <w:szCs w:val="24"/>
                <w:lang w:val="en-US" w:eastAsia="en-US" w:bidi="ar-SA"/>
              </w:rPr>
            </w:pPr>
            <w:r>
              <w:rPr>
                <w:rFonts w:eastAsia="Cambria"/>
                <w:b/>
                <w:bCs/>
                <w:kern w:val="0"/>
                <w:sz w:val="24"/>
                <w:szCs w:val="24"/>
                <w:lang w:val="en-US" w:eastAsia="en-US" w:bidi="ar-SA"/>
              </w:rPr>
              <w:t>Partial IRV</w:t>
            </w:r>
          </w:p>
        </w:tc>
        <w:tc>
          <w:tcPr>
            <w:tcW w:w="468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Shown only when no overpressure protection is required. Yes prefers bodies that have an IRV but skips the IRV capability check entirely, and reports the protection type as “Partial”.</w:t>
            </w:r>
          </w:p>
        </w:tc>
      </w:tr>
      <w:tr>
        <w:trPr/>
        <w:tc>
          <w:tcPr>
            <w:tcW w:w="4680" w:type="dxa"/>
            <w:tcBorders/>
          </w:tcPr>
          <w:p>
            <w:pPr>
              <w:pStyle w:val="Compact"/>
              <w:widowControl/>
              <w:spacing w:before="36" w:after="36"/>
              <w:jc w:val="start"/>
              <w:rPr>
                <w:rFonts w:ascii="Cambria" w:hAnsi="Cambria" w:eastAsia="Cambria"/>
                <w:b/>
                <w:bCs/>
                <w:kern w:val="0"/>
                <w:sz w:val="24"/>
                <w:szCs w:val="24"/>
                <w:lang w:val="en-US" w:eastAsia="en-US" w:bidi="ar-SA"/>
              </w:rPr>
            </w:pPr>
            <w:r>
              <w:rPr>
                <w:rFonts w:eastAsia="Cambria"/>
                <w:b/>
                <w:bCs/>
                <w:kern w:val="0"/>
                <w:sz w:val="24"/>
                <w:szCs w:val="24"/>
                <w:lang w:val="en-US" w:eastAsia="en-US" w:bidi="ar-SA"/>
              </w:rPr>
              <w:t>Standard or V-Port orifice preferred on 441/461 models?</w:t>
            </w:r>
          </w:p>
        </w:tc>
        <w:tc>
          <w:tcPr>
            <w:tcW w:w="468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Standard (default) or V-Port. Decides which of the two 441/461 tables is searched first. If the preferred table has no working row the other is used. Has no effect on any other family; anything other than “vport” is treated as “standard”.</w:t>
            </w:r>
          </w:p>
        </w:tc>
      </w:tr>
      <w:tr>
        <w:trPr/>
        <w:tc>
          <w:tcPr>
            <w:tcW w:w="4680" w:type="dxa"/>
            <w:tcBorders/>
          </w:tcPr>
          <w:p>
            <w:pPr>
              <w:pStyle w:val="Compact"/>
              <w:widowControl/>
              <w:spacing w:before="36" w:after="36"/>
              <w:jc w:val="start"/>
              <w:rPr>
                <w:rFonts w:ascii="Cambria" w:hAnsi="Cambria" w:eastAsia="Cambria"/>
                <w:b/>
                <w:bCs/>
                <w:kern w:val="0"/>
                <w:sz w:val="24"/>
                <w:szCs w:val="24"/>
                <w:lang w:val="en-US" w:eastAsia="en-US" w:bidi="ar-SA"/>
              </w:rPr>
            </w:pPr>
            <w:r>
              <w:rPr>
                <w:rFonts w:eastAsia="Cambria"/>
                <w:b/>
                <w:bCs/>
                <w:kern w:val="0"/>
                <w:sz w:val="24"/>
                <w:szCs w:val="24"/>
                <w:lang w:val="en-US" w:eastAsia="en-US" w:bidi="ar-SA"/>
              </w:rPr>
              <w:t>Prefer Combustion Regulator (Model 121/122)</w:t>
            </w:r>
          </w:p>
        </w:tc>
        <w:tc>
          <w:tcPr>
            <w:tcW w:w="468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Decides the order between 121/122 and 441/461 when both can meet the requirement.</w:t>
            </w:r>
          </w:p>
        </w:tc>
      </w:tr>
      <w:tr>
        <w:trPr/>
        <w:tc>
          <w:tcPr>
            <w:tcW w:w="4680" w:type="dxa"/>
            <w:tcBorders/>
          </w:tcPr>
          <w:p>
            <w:pPr>
              <w:pStyle w:val="Compact"/>
              <w:widowControl/>
              <w:spacing w:before="36" w:after="36"/>
              <w:jc w:val="start"/>
              <w:rPr>
                <w:rFonts w:ascii="Cambria" w:hAnsi="Cambria" w:eastAsia="Cambria"/>
                <w:b/>
                <w:bCs/>
                <w:kern w:val="0"/>
                <w:sz w:val="24"/>
                <w:szCs w:val="24"/>
                <w:lang w:val="en-US" w:eastAsia="en-US" w:bidi="ar-SA"/>
              </w:rPr>
            </w:pPr>
            <w:r>
              <w:rPr>
                <w:rFonts w:eastAsia="Cambria"/>
                <w:b/>
                <w:bCs/>
                <w:kern w:val="0"/>
                <w:sz w:val="24"/>
                <w:szCs w:val="24"/>
                <w:lang w:val="en-US" w:eastAsia="en-US" w:bidi="ar-SA"/>
              </w:rPr>
              <w:t>High-Eff / Generator Load</w:t>
            </w:r>
          </w:p>
        </w:tc>
        <w:tc>
          <w:tcPr>
            <w:tcW w:w="468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Whether any portion of the load feeds a generator or high-efficiency boiler. If Yes, the percentage of total load is entered on a slider (default 100). This raises the oversize factor — see Section 4.</w:t>
            </w:r>
          </w:p>
        </w:tc>
      </w:tr>
      <w:tr>
        <w:trPr/>
        <w:tc>
          <w:tcPr>
            <w:tcW w:w="4680" w:type="dxa"/>
            <w:tcBorders/>
          </w:tcPr>
          <w:p>
            <w:pPr>
              <w:pStyle w:val="Compact"/>
              <w:widowControl/>
              <w:spacing w:before="36" w:after="36"/>
              <w:jc w:val="start"/>
              <w:rPr>
                <w:rFonts w:ascii="Cambria" w:hAnsi="Cambria" w:eastAsia="Cambria"/>
                <w:b/>
                <w:bCs/>
                <w:kern w:val="0"/>
                <w:sz w:val="24"/>
                <w:szCs w:val="24"/>
                <w:lang w:val="en-US" w:eastAsia="en-US" w:bidi="ar-SA"/>
              </w:rPr>
            </w:pPr>
            <w:r>
              <w:rPr>
                <w:rFonts w:eastAsia="Cambria"/>
                <w:b/>
                <w:bCs/>
                <w:kern w:val="0"/>
                <w:sz w:val="24"/>
                <w:szCs w:val="24"/>
                <w:lang w:val="en-US" w:eastAsia="en-US" w:bidi="ar-SA"/>
              </w:rPr>
              <w:t>Override percentage regulator is oversized by</w:t>
            </w:r>
          </w:p>
        </w:tc>
        <w:tc>
          <w:tcPr>
            <w:tcW w:w="468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If Yes, an explicit oversize percentage (slider, default 25) replaces the calculated factor, including any high-efficiency increase.</w:t>
            </w:r>
          </w:p>
        </w:tc>
      </w:tr>
      <w:tr>
        <w:trPr/>
        <w:tc>
          <w:tcPr>
            <w:tcW w:w="4680" w:type="dxa"/>
            <w:tcBorders/>
          </w:tcPr>
          <w:p>
            <w:pPr>
              <w:pStyle w:val="Compact"/>
              <w:widowControl/>
              <w:spacing w:before="36" w:after="36"/>
              <w:jc w:val="start"/>
              <w:rPr>
                <w:rFonts w:ascii="Cambria" w:hAnsi="Cambria" w:eastAsia="Cambria"/>
                <w:b/>
                <w:bCs/>
                <w:kern w:val="0"/>
                <w:sz w:val="24"/>
                <w:szCs w:val="24"/>
                <w:lang w:val="en-US" w:eastAsia="en-US" w:bidi="ar-SA"/>
              </w:rPr>
            </w:pPr>
            <w:r>
              <w:rPr>
                <w:rFonts w:eastAsia="Cambria"/>
                <w:b/>
                <w:bCs/>
                <w:kern w:val="0"/>
                <w:sz w:val="24"/>
                <w:szCs w:val="24"/>
                <w:lang w:val="en-US" w:eastAsia="en-US" w:bidi="ar-SA"/>
              </w:rPr>
              <w:t>Gas Type</w:t>
            </w:r>
          </w:p>
        </w:tc>
        <w:tc>
          <w:tcPr>
            <w:tcW w:w="468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Natural gas, propane, or other. Propane applies a capacity multiplier of 0.63. Other gas requires a specific gravity; the multiplier is sqrt(0.6 / specific gravity), capped at 1.0 so a gas lighter than natural gas gives no credit. Natural gas uses 1.0.</w:t>
            </w:r>
          </w:p>
        </w:tc>
      </w:tr>
      <w:tr>
        <w:trPr/>
        <w:tc>
          <w:tcPr>
            <w:tcW w:w="4680" w:type="dxa"/>
            <w:tcBorders/>
          </w:tcPr>
          <w:p>
            <w:pPr>
              <w:pStyle w:val="Compact"/>
              <w:widowControl/>
              <w:spacing w:before="36" w:after="36"/>
              <w:jc w:val="start"/>
              <w:rPr>
                <w:rFonts w:ascii="Cambria" w:hAnsi="Cambria" w:eastAsia="Cambria"/>
                <w:b/>
                <w:bCs/>
                <w:kern w:val="0"/>
                <w:sz w:val="24"/>
                <w:szCs w:val="24"/>
                <w:lang w:val="en-US" w:eastAsia="en-US" w:bidi="ar-SA"/>
              </w:rPr>
            </w:pPr>
            <w:r>
              <w:rPr>
                <w:rFonts w:eastAsia="Cambria"/>
                <w:b/>
                <w:bCs/>
                <w:kern w:val="0"/>
                <w:sz w:val="24"/>
                <w:szCs w:val="24"/>
                <w:lang w:val="en-US" w:eastAsia="en-US" w:bidi="ar-SA"/>
              </w:rPr>
              <w:t>Altitude above 3,000 feet or atmospheric pressure below 13 psi</w:t>
            </w:r>
          </w:p>
        </w:tc>
        <w:tc>
          <w:tcPr>
            <w:tcW w:w="468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If Yes, an atmospheric pressure is entered in psi (default 14.40, range 8.80–14.73). If No, 14.40 is used. This value feeds the capacity calculations directly — see Sections 5.1 and 5.2.</w:t>
            </w:r>
            <w:bookmarkStart w:id="1" w:name="inputs"/>
            <w:bookmarkEnd w:id="1"/>
          </w:p>
        </w:tc>
      </w:tr>
    </w:tbl>
    <w:p>
      <w:pPr>
        <w:pStyle w:val="Heading1"/>
        <w:rPr/>
      </w:pPr>
      <w:r>
        <w:rPr/>
        <w:t>3. Input Validation</w:t>
      </w:r>
    </w:p>
    <w:p>
      <w:pPr>
        <w:pStyle w:val="FirstParagraph"/>
        <w:rPr/>
      </w:pPr>
      <w:r>
        <w:rPr/>
        <w:t>These checks run before sizing. Every failure is collected and reported together, and sizing does not start if there is at least one:</w:t>
      </w:r>
    </w:p>
    <w:tbl>
      <w:tblPr>
        <w:tblW w:w="5000" w:type="pct"/>
        <w:jc w:val="start"/>
        <w:tblInd w:w="0" w:type="dxa"/>
        <w:tblLayout w:type="fixed"/>
        <w:tblCellMar>
          <w:top w:w="0" w:type="dxa"/>
          <w:start w:w="108" w:type="dxa"/>
          <w:bottom w:w="0" w:type="dxa"/>
          <w:end w:w="108" w:type="dxa"/>
        </w:tblCellMar>
      </w:tblPr>
      <w:tblGrid>
        <w:gridCol w:w="4680"/>
        <w:gridCol w:w="4680"/>
      </w:tblGrid>
      <w:tr>
        <w:trPr>
          <w:tblHeader w:val="true"/>
        </w:trPr>
        <w:tc>
          <w:tcPr>
            <w:tcW w:w="4680" w:type="dxa"/>
            <w:tcBorders>
              <w:bottom w:val="single" w:sz="6" w:space="0" w:color="000000"/>
            </w:tcBorders>
            <w:vAlign w:val="bottom"/>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Check</w:t>
            </w:r>
          </w:p>
        </w:tc>
        <w:tc>
          <w:tcPr>
            <w:tcW w:w="4680" w:type="dxa"/>
            <w:tcBorders>
              <w:bottom w:val="single" w:sz="6" w:space="0" w:color="000000"/>
            </w:tcBorders>
            <w:vAlign w:val="bottom"/>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Rule</w:t>
            </w:r>
          </w:p>
        </w:tc>
      </w:tr>
      <w:tr>
        <w:trPr/>
        <w:tc>
          <w:tcPr>
            <w:tcW w:w="4680" w:type="dxa"/>
            <w:tcBorders/>
          </w:tcPr>
          <w:p>
            <w:pPr>
              <w:pStyle w:val="Compact"/>
              <w:widowControl/>
              <w:spacing w:before="36" w:after="36"/>
              <w:jc w:val="start"/>
              <w:rPr>
                <w:rFonts w:ascii="Cambria" w:hAnsi="Cambria" w:eastAsia="Cambria"/>
                <w:b/>
                <w:bCs/>
                <w:kern w:val="0"/>
                <w:sz w:val="24"/>
                <w:szCs w:val="24"/>
                <w:lang w:val="en-US" w:eastAsia="en-US" w:bidi="ar-SA"/>
              </w:rPr>
            </w:pPr>
            <w:r>
              <w:rPr>
                <w:rFonts w:eastAsia="Cambria"/>
                <w:b/>
                <w:bCs/>
                <w:kern w:val="0"/>
                <w:sz w:val="24"/>
                <w:szCs w:val="24"/>
                <w:lang w:val="en-US" w:eastAsia="en-US" w:bidi="ar-SA"/>
              </w:rPr>
              <w:t>Required values</w:t>
            </w:r>
          </w:p>
        </w:tc>
        <w:tc>
          <w:tcPr>
            <w:tcW w:w="468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Inlet pressure, outlet pressure and max flow rate must all be non-zero.</w:t>
            </w:r>
          </w:p>
        </w:tc>
      </w:tr>
      <w:tr>
        <w:trPr/>
        <w:tc>
          <w:tcPr>
            <w:tcW w:w="4680" w:type="dxa"/>
            <w:tcBorders/>
          </w:tcPr>
          <w:p>
            <w:pPr>
              <w:pStyle w:val="Compact"/>
              <w:widowControl/>
              <w:spacing w:before="36" w:after="36"/>
              <w:jc w:val="start"/>
              <w:rPr>
                <w:rFonts w:ascii="Cambria" w:hAnsi="Cambria" w:eastAsia="Cambria"/>
                <w:b/>
                <w:bCs/>
                <w:kern w:val="0"/>
                <w:sz w:val="24"/>
                <w:szCs w:val="24"/>
                <w:lang w:val="en-US" w:eastAsia="en-US" w:bidi="ar-SA"/>
              </w:rPr>
            </w:pPr>
            <w:r>
              <w:rPr>
                <w:rFonts w:eastAsia="Cambria"/>
                <w:b/>
                <w:bCs/>
                <w:kern w:val="0"/>
                <w:sz w:val="24"/>
                <w:szCs w:val="24"/>
                <w:lang w:val="en-US" w:eastAsia="en-US" w:bidi="ar-SA"/>
              </w:rPr>
              <w:t>Inlet pressure range</w:t>
            </w:r>
          </w:p>
        </w:tc>
        <w:tc>
          <w:tcPr>
            <w:tcW w:w="468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Inlet must be between 7” wc (0.25 psi) and 1,000 psi.</w:t>
            </w:r>
          </w:p>
        </w:tc>
      </w:tr>
      <w:tr>
        <w:trPr/>
        <w:tc>
          <w:tcPr>
            <w:tcW w:w="4680" w:type="dxa"/>
            <w:tcBorders/>
          </w:tcPr>
          <w:p>
            <w:pPr>
              <w:pStyle w:val="Compact"/>
              <w:widowControl/>
              <w:spacing w:before="36" w:after="36"/>
              <w:jc w:val="start"/>
              <w:rPr>
                <w:rFonts w:ascii="Cambria" w:hAnsi="Cambria" w:eastAsia="Cambria"/>
                <w:b/>
                <w:bCs/>
                <w:kern w:val="0"/>
                <w:sz w:val="24"/>
                <w:szCs w:val="24"/>
                <w:lang w:val="en-US" w:eastAsia="en-US" w:bidi="ar-SA"/>
              </w:rPr>
            </w:pPr>
            <w:r>
              <w:rPr>
                <w:rFonts w:eastAsia="Cambria"/>
                <w:b/>
                <w:bCs/>
                <w:kern w:val="0"/>
                <w:sz w:val="24"/>
                <w:szCs w:val="24"/>
                <w:lang w:val="en-US" w:eastAsia="en-US" w:bidi="ar-SA"/>
              </w:rPr>
              <w:t>Outlet pressure range</w:t>
            </w:r>
          </w:p>
        </w:tc>
        <w:tc>
          <w:tcPr>
            <w:tcW w:w="468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Outlet must be between 1.5” wc (0.0536 psi) and 250 psi.</w:t>
            </w:r>
          </w:p>
        </w:tc>
      </w:tr>
      <w:tr>
        <w:trPr/>
        <w:tc>
          <w:tcPr>
            <w:tcW w:w="468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b/>
                <w:bCs/>
                <w:kern w:val="0"/>
                <w:sz w:val="24"/>
                <w:szCs w:val="24"/>
                <w:lang w:val="en-US" w:eastAsia="en-US" w:bidi="ar-SA"/>
              </w:rPr>
              <w:t>Outlet &lt;</w:t>
            </w:r>
            <w:r>
              <w:rPr>
                <w:rFonts w:eastAsia="Cambria"/>
                <w:kern w:val="0"/>
                <w:sz w:val="24"/>
                <w:szCs w:val="24"/>
                <w:lang w:val="en-US" w:eastAsia="en-US" w:bidi="ar-SA"/>
              </w:rPr>
              <w:t>** Inlet**</w:t>
            </w:r>
          </w:p>
        </w:tc>
        <w:tc>
          <w:tcPr>
            <w:tcW w:w="468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Outlet pressure must be strictly less than inlet pressure.</w:t>
            </w:r>
          </w:p>
        </w:tc>
      </w:tr>
      <w:tr>
        <w:trPr/>
        <w:tc>
          <w:tcPr>
            <w:tcW w:w="4680" w:type="dxa"/>
            <w:tcBorders/>
          </w:tcPr>
          <w:p>
            <w:pPr>
              <w:pStyle w:val="Compact"/>
              <w:widowControl/>
              <w:spacing w:before="36" w:after="36"/>
              <w:jc w:val="start"/>
              <w:rPr>
                <w:rFonts w:ascii="Cambria" w:hAnsi="Cambria" w:eastAsia="Cambria"/>
                <w:b/>
                <w:bCs/>
                <w:kern w:val="0"/>
                <w:sz w:val="24"/>
                <w:szCs w:val="24"/>
                <w:lang w:val="en-US" w:eastAsia="en-US" w:bidi="ar-SA"/>
              </w:rPr>
            </w:pPr>
            <w:r>
              <w:rPr>
                <w:rFonts w:eastAsia="Cambria"/>
                <w:b/>
                <w:bCs/>
                <w:kern w:val="0"/>
                <w:sz w:val="24"/>
                <w:szCs w:val="24"/>
                <w:lang w:val="en-US" w:eastAsia="en-US" w:bidi="ar-SA"/>
              </w:rPr>
              <w:t>MAIP ≥ Inlet</w:t>
            </w:r>
          </w:p>
        </w:tc>
        <w:tc>
          <w:tcPr>
            <w:tcW w:w="468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If MAIP is not zero, it must be greater than or equal to inlet pressure.</w:t>
            </w:r>
          </w:p>
        </w:tc>
      </w:tr>
      <w:tr>
        <w:trPr/>
        <w:tc>
          <w:tcPr>
            <w:tcW w:w="4680" w:type="dxa"/>
            <w:tcBorders/>
          </w:tcPr>
          <w:p>
            <w:pPr>
              <w:pStyle w:val="Compact"/>
              <w:widowControl/>
              <w:spacing w:before="36" w:after="36"/>
              <w:jc w:val="start"/>
              <w:rPr>
                <w:rFonts w:ascii="Cambria" w:hAnsi="Cambria" w:eastAsia="Cambria"/>
                <w:b/>
                <w:bCs/>
                <w:kern w:val="0"/>
                <w:sz w:val="24"/>
                <w:szCs w:val="24"/>
                <w:lang w:val="en-US" w:eastAsia="en-US" w:bidi="ar-SA"/>
              </w:rPr>
            </w:pPr>
            <w:r>
              <w:rPr>
                <w:rFonts w:eastAsia="Cambria"/>
                <w:b/>
                <w:bCs/>
                <w:kern w:val="0"/>
                <w:sz w:val="24"/>
                <w:szCs w:val="24"/>
                <w:lang w:val="en-US" w:eastAsia="en-US" w:bidi="ar-SA"/>
              </w:rPr>
              <w:t>Min flow ≤ Max flow</w:t>
            </w:r>
          </w:p>
        </w:tc>
        <w:tc>
          <w:tcPr>
            <w:tcW w:w="468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Checked whenever a min flow is entered.</w:t>
            </w:r>
          </w:p>
        </w:tc>
      </w:tr>
      <w:tr>
        <w:trPr/>
        <w:tc>
          <w:tcPr>
            <w:tcW w:w="4680" w:type="dxa"/>
            <w:tcBorders/>
          </w:tcPr>
          <w:p>
            <w:pPr>
              <w:pStyle w:val="Compact"/>
              <w:widowControl/>
              <w:spacing w:before="36" w:after="36"/>
              <w:jc w:val="start"/>
              <w:rPr>
                <w:rFonts w:ascii="Cambria" w:hAnsi="Cambria" w:eastAsia="Cambria"/>
                <w:b/>
                <w:bCs/>
                <w:kern w:val="0"/>
                <w:sz w:val="24"/>
                <w:szCs w:val="24"/>
                <w:lang w:val="en-US" w:eastAsia="en-US" w:bidi="ar-SA"/>
              </w:rPr>
            </w:pPr>
            <w:r>
              <w:rPr>
                <w:rFonts w:eastAsia="Cambria"/>
                <w:b/>
                <w:bCs/>
                <w:kern w:val="0"/>
                <w:sz w:val="24"/>
                <w:szCs w:val="24"/>
                <w:lang w:val="en-US" w:eastAsia="en-US" w:bidi="ar-SA"/>
              </w:rPr>
              <w:t>Pressure differential</w:t>
            </w:r>
          </w:p>
        </w:tc>
        <w:tc>
          <w:tcPr>
            <w:tcW w:w="468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If inlet exceeds 175 psi and outlet is below 3 psi, the differential is too large for a single regulator. The tool stops and recommends sizing for two pressure cuts.</w:t>
            </w:r>
          </w:p>
        </w:tc>
      </w:tr>
      <w:tr>
        <w:trPr/>
        <w:tc>
          <w:tcPr>
            <w:tcW w:w="4680" w:type="dxa"/>
            <w:tcBorders/>
          </w:tcPr>
          <w:p>
            <w:pPr>
              <w:pStyle w:val="Compact"/>
              <w:widowControl/>
              <w:spacing w:before="36" w:after="36"/>
              <w:jc w:val="start"/>
              <w:rPr>
                <w:rFonts w:ascii="Cambria" w:hAnsi="Cambria" w:eastAsia="Cambria"/>
                <w:b/>
                <w:bCs/>
                <w:kern w:val="0"/>
                <w:sz w:val="24"/>
                <w:szCs w:val="24"/>
                <w:lang w:val="en-US" w:eastAsia="en-US" w:bidi="ar-SA"/>
              </w:rPr>
            </w:pPr>
            <w:r>
              <w:rPr>
                <w:rFonts w:eastAsia="Cambria"/>
                <w:b/>
                <w:bCs/>
                <w:kern w:val="0"/>
                <w:sz w:val="24"/>
                <w:szCs w:val="24"/>
                <w:lang w:val="en-US" w:eastAsia="en-US" w:bidi="ar-SA"/>
              </w:rPr>
              <w:t>BTUH with other gas</w:t>
            </w:r>
          </w:p>
        </w:tc>
        <w:tc>
          <w:tcPr>
            <w:tcW w:w="468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Checked after the above. If the gas type is neither natural gas nor propane and the flow unit is BTUH, sizing stops and asks for CFH or CMH.</w:t>
            </w:r>
          </w:p>
        </w:tc>
      </w:tr>
    </w:tbl>
    <w:p>
      <w:pPr>
        <w:pStyle w:val="BodyText"/>
        <w:rPr/>
      </w:pPr>
      <w:r>
        <w:rPr/>
        <w:t>The high-efficiency percentage is not validated separately; the slider constrains it to 0–100.</w:t>
      </w:r>
    </w:p>
    <w:p>
      <w:pPr>
        <w:pStyle w:val="Heading1"/>
        <w:rPr/>
      </w:pPr>
      <w:bookmarkStart w:id="2" w:name="oversize-factor"/>
      <w:r>
        <w:rPr/>
        <w:t>4. Oversize Factor</w:t>
      </w:r>
    </w:p>
    <w:p>
      <w:pPr>
        <w:pStyle w:val="FirstParagraph"/>
        <w:rPr/>
      </w:pPr>
      <w:r>
        <w:rPr/>
        <w:t xml:space="preserve">A regulator is acceptable only if its calculated capacity is at least (oversize factor × max flow rate). The factor applies to </w:t>
      </w:r>
      <w:r>
        <w:rPr>
          <w:b/>
          <w:bCs/>
        </w:rPr>
        <w:t>every</w:t>
      </w:r>
      <w:r>
        <w:rPr/>
        <w:t xml:space="preserve"> family, including Model 441/461.</w:t>
      </w:r>
    </w:p>
    <w:p>
      <w:pPr>
        <w:pStyle w:val="Compact"/>
        <w:numPr>
          <w:ilvl w:val="0"/>
          <w:numId w:val="24"/>
        </w:numPr>
        <w:rPr/>
      </w:pPr>
      <w:r>
        <w:rPr/>
        <w:t>Standard oversize: 25% (factor = 1.25)</w:t>
      </w:r>
    </w:p>
    <w:p>
      <w:pPr>
        <w:pStyle w:val="Compact"/>
        <w:numPr>
          <w:ilvl w:val="0"/>
          <w:numId w:val="25"/>
        </w:numPr>
        <w:rPr/>
      </w:pPr>
      <w:r>
        <w:rPr/>
        <w:t>With a high-efficiency/generator load: factor = 1.25 + (0.75 × load fraction). Examples:</w:t>
      </w:r>
    </w:p>
    <w:p>
      <w:pPr>
        <w:pStyle w:val="Compact"/>
        <w:numPr>
          <w:ilvl w:val="0"/>
          <w:numId w:val="26"/>
        </w:numPr>
        <w:rPr/>
      </w:pPr>
      <w:r>
        <w:rPr/>
        <w:t>25% of load feeding high-efficiency equipment: 1.25 + (0.75 × 0.25) = 1.4375</w:t>
      </w:r>
    </w:p>
    <w:p>
      <w:pPr>
        <w:pStyle w:val="Compact"/>
        <w:numPr>
          <w:ilvl w:val="0"/>
          <w:numId w:val="27"/>
        </w:numPr>
        <w:rPr/>
      </w:pPr>
      <w:r>
        <w:rPr/>
        <w:t>50% of load: 1.25 + (0.75 × 0.50) = 1.625</w:t>
      </w:r>
    </w:p>
    <w:p>
      <w:pPr>
        <w:pStyle w:val="Compact"/>
        <w:numPr>
          <w:ilvl w:val="0"/>
          <w:numId w:val="28"/>
        </w:numPr>
        <w:rPr/>
      </w:pPr>
      <w:r>
        <w:rPr/>
        <w:t>100% of load: 1.25 + (0.75 × 1.00) = 2.00</w:t>
      </w:r>
    </w:p>
    <w:p>
      <w:pPr>
        <w:pStyle w:val="Compact"/>
        <w:numPr>
          <w:ilvl w:val="0"/>
          <w:numId w:val="29"/>
        </w:numPr>
        <w:rPr/>
      </w:pPr>
      <w:r>
        <w:rPr/>
        <w:t>If the oversize override is set to Yes, the factor becomes 1 + (entered percentage ÷ 100) and the high-efficiency increase is discarded.</w:t>
      </w:r>
    </w:p>
    <w:p>
      <w:pPr>
        <w:pStyle w:val="FirstParagraph"/>
        <w:rPr/>
      </w:pPr>
      <w:bookmarkStart w:id="3" w:name="oversize-factor"/>
      <w:r>
        <w:rPr/>
        <w:t>The figure shown to the customer as “Oversized By” is (factor − 1) × 100, rounded to a whole percent.</w:t>
      </w:r>
      <w:bookmarkEnd w:id="3"/>
    </w:p>
    <w:p>
      <w:pPr>
        <w:pStyle w:val="Heading1"/>
        <w:rPr/>
      </w:pPr>
      <w:bookmarkStart w:id="4" w:name="capacity-calculation"/>
      <w:r>
        <w:rPr/>
        <w:t>5. Capacity Calculation</w:t>
      </w:r>
    </w:p>
    <w:p>
      <w:pPr>
        <w:pStyle w:val="Heading2"/>
        <w:rPr/>
      </w:pPr>
      <w:bookmarkStart w:id="5" w:name="X96408e6eb224ec43c248c825612f9fc892e9e12"/>
      <w:r>
        <w:rPr/>
        <w:t>5.1 Tabular Interpolation (Models 496, 143, 243, 046, 121/122)</w:t>
      </w:r>
    </w:p>
    <w:p>
      <w:pPr>
        <w:pStyle w:val="FirstParagraph"/>
        <w:rPr/>
      </w:pPr>
      <w:r>
        <w:rPr/>
        <w:t>These families use published capacity tables, keyed by outlet pressure, then inlet pressure, then an individual register (a body + orifice combination). Capacity is bilinearly interpolated:</w:t>
      </w:r>
    </w:p>
    <w:p>
      <w:pPr>
        <w:pStyle w:val="Compact"/>
        <w:numPr>
          <w:ilvl w:val="0"/>
          <w:numId w:val="30"/>
        </w:numPr>
        <w:rPr/>
      </w:pPr>
      <w:r>
        <w:rPr/>
        <w:t>Step 1 — Outlet brackets: find the table outlet pressures immediately below and above the actual outlet pressure. If the outlet is outside the table’s range altogether, the family is skipped with the warning “Error: inlet pressure is out of range for given outlet pressure” (the wording mentions the inlet, but this message also covers an out-of-range outlet).</w:t>
      </w:r>
    </w:p>
    <w:p>
      <w:pPr>
        <w:pStyle w:val="Compact"/>
        <w:numPr>
          <w:ilvl w:val="0"/>
          <w:numId w:val="31"/>
        </w:numPr>
        <w:rPr/>
      </w:pPr>
      <w:r>
        <w:rPr/>
        <w:t>Step 2 — Inlet interpolation: within each of those two outlet sections, bracket the actual inlet pressure and interpolate linearly for every register. If the inlet falls outside a section’s inlet range, the whole family is skipped with the same warning.</w:t>
      </w:r>
    </w:p>
    <w:p>
      <w:pPr>
        <w:pStyle w:val="Compact"/>
        <w:numPr>
          <w:ilvl w:val="0"/>
          <w:numId w:val="32"/>
        </w:numPr>
        <w:rPr/>
      </w:pPr>
      <w:r>
        <w:rPr/>
        <w:t>Step 3 — Final outlet interpolation: interpolate the two Step 2 results at the actual outlet pressure.</w:t>
      </w:r>
    </w:p>
    <w:p>
      <w:pPr>
        <w:pStyle w:val="Compact"/>
        <w:numPr>
          <w:ilvl w:val="0"/>
          <w:numId w:val="33"/>
        </w:numPr>
        <w:rPr/>
      </w:pPr>
      <w:r>
        <w:rPr/>
        <w:t>Step 4 — Apply adjustments, in this order: 0.70 if a monitor regulator is being sized; 0.80 if V-Port valves are being sized (Model 121/122 only); the gas type multiplier; then the altitude factor below. The result is rounded to a whole CFH.</w:t>
      </w:r>
    </w:p>
    <w:p>
      <w:pPr>
        <w:pStyle w:val="FirstParagraph"/>
        <w:rPr/>
      </w:pPr>
      <w:r>
        <w:rPr/>
        <w:t>Any register whose table value is blank at either end of an interpolation becomes “N/A” and cannot be selected.</w:t>
      </w:r>
    </w:p>
    <w:p>
      <w:pPr>
        <w:pStyle w:val="BodyText"/>
        <w:rPr/>
      </w:pPr>
      <w:r>
        <w:rPr>
          <w:b/>
          <w:bCs/>
        </w:rPr>
        <w:t>Altitude factor.</w:t>
      </w:r>
      <w:r>
        <w:rPr/>
        <w:t xml:space="preserve"> Applied only when the atmospheric pressure is below 14.40 psi, and only if it works out below 1.0. With Patm for the entered atmospheric pressure:</w:t>
      </w:r>
    </w:p>
    <w:p>
      <w:pPr>
        <w:pStyle w:val="Compact"/>
        <w:numPr>
          <w:ilvl w:val="0"/>
          <w:numId w:val="34"/>
        </w:numPr>
        <w:rPr/>
      </w:pPr>
      <w:r>
        <w:rPr/>
        <w:t>If (inlet + Patm) ÷ (outlet + Patm) &lt; 1.894, the factor is sqrt((outlet + Patm) × (inlet − outlet)) ÷ sqrt((outlet + 14.65) × (inlet − outlet)), which reduces to sqrt((outlet + Patm) ÷ (outlet + 14.65)).</w:t>
      </w:r>
    </w:p>
    <w:p>
      <w:pPr>
        <w:pStyle w:val="Compact"/>
        <w:numPr>
          <w:ilvl w:val="0"/>
          <w:numId w:val="35"/>
        </w:numPr>
        <w:rPr/>
      </w:pPr>
      <w:r>
        <w:rPr/>
        <w:t>Otherwise the factor is (inlet + Patm) ÷ (inlet + 14.65).</w:t>
      </w:r>
    </w:p>
    <w:p>
      <w:pPr>
        <w:pStyle w:val="FirstParagraph"/>
        <w:rPr/>
      </w:pPr>
      <w:bookmarkStart w:id="6" w:name="X96408e6eb224ec43c248c825612f9fc892e9e12"/>
      <w:r>
        <w:rPr/>
        <w:t>The same formula, expressed as a percentage reduction, is reported to the customer under Sizing Adjustments.</w:t>
      </w:r>
      <w:bookmarkEnd w:id="6"/>
    </w:p>
    <w:p>
      <w:pPr>
        <w:pStyle w:val="Heading2"/>
        <w:rPr/>
      </w:pPr>
      <w:bookmarkStart w:id="7" w:name="formula-based-calculation-model-441461"/>
      <w:r>
        <w:rPr/>
        <w:t>5.2 Formula-Based Calculation (Model 441/461)</w:t>
      </w:r>
    </w:p>
    <w:p>
      <w:pPr>
        <w:pStyle w:val="FirstParagraph"/>
        <w:rPr/>
      </w:pPr>
      <w:r>
        <w:rPr/>
        <w:t>Model 441/461 capacity is calculated analytically rather than from a lookup table, so it can be evaluated at any pressure combination.</w:t>
      </w:r>
    </w:p>
    <w:p>
      <w:pPr>
        <w:pStyle w:val="Compact"/>
        <w:numPr>
          <w:ilvl w:val="0"/>
          <w:numId w:val="36"/>
        </w:numPr>
        <w:rPr/>
      </w:pPr>
      <w:r>
        <w:rPr/>
        <w:t>Subcritical (P1/P2 &lt; 1.894): Q = K × sqrt(P2 × (P1 − P2))</w:t>
      </w:r>
    </w:p>
    <w:p>
      <w:pPr>
        <w:pStyle w:val="Compact"/>
        <w:numPr>
          <w:ilvl w:val="0"/>
          <w:numId w:val="37"/>
        </w:numPr>
        <w:rPr/>
      </w:pPr>
      <w:r>
        <w:rPr/>
        <w:t>Critical (P1/P2 ≥ 1.894): Q = K × P1 ÷ 2</w:t>
      </w:r>
    </w:p>
    <w:p>
      <w:pPr>
        <w:pStyle w:val="FirstParagraph"/>
        <w:rPr/>
      </w:pPr>
      <w:r>
        <w:rPr/>
        <w:t xml:space="preserve">P1 = inlet + Patm and P2 = outlet + Patm, where Patm is the entered atmospheric pressure and defaults to </w:t>
      </w:r>
      <w:r>
        <w:rPr>
          <w:b/>
          <w:bCs/>
        </w:rPr>
        <w:t>14.40</w:t>
      </w:r>
      <w:r>
        <w:rPr/>
        <w:t xml:space="preserve"> psia. Altitude therefore enters this family through the formula itself; no separate altitude factor is applied. A 30% reduction is applied for a monitor setup, then the gas type multiplier.</w:t>
      </w:r>
    </w:p>
    <w:p>
      <w:pPr>
        <w:pStyle w:val="BodyText"/>
        <w:rPr/>
      </w:pPr>
      <w:r>
        <w:rPr/>
        <w:t>Two tables are built on every run — standard valves and V-Port valves — and every row in both is evaluated. Minimum flow is Qmax ÷ 20 for standard valves and Qmax ÷ 40 for V-Port valves. A row is marked working (Y) only when all three hold:</w:t>
      </w:r>
    </w:p>
    <w:p>
      <w:pPr>
        <w:pStyle w:val="Compact"/>
        <w:numPr>
          <w:ilvl w:val="0"/>
          <w:numId w:val="38"/>
        </w:numPr>
        <w:rPr/>
      </w:pPr>
      <w:r>
        <w:rPr/>
        <w:t>The row has an applicable model (not N/A)</w:t>
      </w:r>
    </w:p>
    <w:p>
      <w:pPr>
        <w:pStyle w:val="Compact"/>
        <w:numPr>
          <w:ilvl w:val="0"/>
          <w:numId w:val="39"/>
        </w:numPr>
        <w:rPr/>
      </w:pPr>
      <w:r>
        <w:rPr/>
        <w:t>Max flow × oversize factor ≤ Qmax</w:t>
      </w:r>
    </w:p>
    <w:p>
      <w:pPr>
        <w:pStyle w:val="Compact"/>
        <w:numPr>
          <w:ilvl w:val="0"/>
          <w:numId w:val="40"/>
        </w:numPr>
        <w:rPr/>
      </w:pPr>
      <w:bookmarkStart w:id="8" w:name="capacity-calculation"/>
      <w:bookmarkStart w:id="9" w:name="formula-based-calculation-model-441461"/>
      <w:r>
        <w:rPr/>
        <w:t>Min flow ≥ Qmin</w:t>
      </w:r>
      <w:bookmarkEnd w:id="8"/>
      <w:bookmarkEnd w:id="9"/>
    </w:p>
    <w:p>
      <w:pPr>
        <w:pStyle w:val="Heading1"/>
        <w:rPr/>
      </w:pPr>
      <w:r>
        <w:rPr/>
        <w:t>6. MAOP Check</w:t>
      </w:r>
    </w:p>
    <w:p>
      <w:pPr>
        <w:pStyle w:val="FirstParagraph"/>
        <w:rPr/>
      </w:pPr>
      <w:r>
        <w:rPr/>
        <w:t>For the five tabular families a candidate is rejected unless its orifice or body rating is greater than or equal to the MAIP input. Ratings in psi:</w:t>
      </w:r>
    </w:p>
    <w:tbl>
      <w:tblPr>
        <w:tblW w:w="5000" w:type="pct"/>
        <w:jc w:val="start"/>
        <w:tblInd w:w="0" w:type="dxa"/>
        <w:tblLayout w:type="fixed"/>
        <w:tblCellMar>
          <w:top w:w="0" w:type="dxa"/>
          <w:start w:w="108" w:type="dxa"/>
          <w:bottom w:w="0" w:type="dxa"/>
          <w:end w:w="108" w:type="dxa"/>
        </w:tblCellMar>
      </w:tblPr>
      <w:tblGrid>
        <w:gridCol w:w="4680"/>
        <w:gridCol w:w="4680"/>
      </w:tblGrid>
      <w:tr>
        <w:trPr>
          <w:tblHeader w:val="true"/>
        </w:trPr>
        <w:tc>
          <w:tcPr>
            <w:tcW w:w="4680" w:type="dxa"/>
            <w:tcBorders>
              <w:bottom w:val="single" w:sz="6" w:space="0" w:color="000000"/>
            </w:tcBorders>
            <w:vAlign w:val="bottom"/>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Family</w:t>
            </w:r>
          </w:p>
        </w:tc>
        <w:tc>
          <w:tcPr>
            <w:tcW w:w="4680" w:type="dxa"/>
            <w:tcBorders>
              <w:bottom w:val="single" w:sz="6" w:space="0" w:color="000000"/>
            </w:tcBorders>
            <w:vAlign w:val="bottom"/>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Rating used for the check (psi)</w:t>
            </w:r>
          </w:p>
        </w:tc>
      </w:tr>
      <w:tr>
        <w:trPr/>
        <w:tc>
          <w:tcPr>
            <w:tcW w:w="4680" w:type="dxa"/>
            <w:tcBorders/>
          </w:tcPr>
          <w:p>
            <w:pPr>
              <w:pStyle w:val="Compact"/>
              <w:widowControl/>
              <w:spacing w:before="36" w:after="36"/>
              <w:jc w:val="start"/>
              <w:rPr>
                <w:rFonts w:ascii="Cambria" w:hAnsi="Cambria" w:eastAsia="Cambria"/>
                <w:b/>
                <w:bCs/>
                <w:kern w:val="0"/>
                <w:sz w:val="24"/>
                <w:szCs w:val="24"/>
                <w:lang w:val="en-US" w:eastAsia="en-US" w:bidi="ar-SA"/>
              </w:rPr>
            </w:pPr>
            <w:r>
              <w:rPr>
                <w:rFonts w:eastAsia="Cambria"/>
                <w:b/>
                <w:bCs/>
                <w:kern w:val="0"/>
                <w:sz w:val="24"/>
                <w:szCs w:val="24"/>
                <w:lang w:val="en-US" w:eastAsia="en-US" w:bidi="ar-SA"/>
              </w:rPr>
              <w:t>Model 496</w:t>
            </w:r>
          </w:p>
        </w:tc>
        <w:tc>
          <w:tcPr>
            <w:tcW w:w="468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1/8” and 3/16”: 125. 1/4”: 60. 5/16”: 40. 3/8” and 1/2”: 30.</w:t>
            </w:r>
          </w:p>
        </w:tc>
      </w:tr>
      <w:tr>
        <w:trPr/>
        <w:tc>
          <w:tcPr>
            <w:tcW w:w="4680" w:type="dxa"/>
            <w:tcBorders/>
          </w:tcPr>
          <w:p>
            <w:pPr>
              <w:pStyle w:val="Compact"/>
              <w:widowControl/>
              <w:spacing w:before="36" w:after="36"/>
              <w:jc w:val="start"/>
              <w:rPr>
                <w:rFonts w:ascii="Cambria" w:hAnsi="Cambria" w:eastAsia="Cambria"/>
                <w:b/>
                <w:bCs/>
                <w:kern w:val="0"/>
                <w:sz w:val="24"/>
                <w:szCs w:val="24"/>
                <w:lang w:val="en-US" w:eastAsia="en-US" w:bidi="ar-SA"/>
              </w:rPr>
            </w:pPr>
            <w:r>
              <w:rPr>
                <w:rFonts w:eastAsia="Cambria"/>
                <w:b/>
                <w:bCs/>
                <w:kern w:val="0"/>
                <w:sz w:val="24"/>
                <w:szCs w:val="24"/>
                <w:lang w:val="en-US" w:eastAsia="en-US" w:bidi="ar-SA"/>
              </w:rPr>
              <w:t>Model 143</w:t>
            </w:r>
          </w:p>
        </w:tc>
        <w:tc>
          <w:tcPr>
            <w:tcW w:w="468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1/8”, 9/64” and 3/16”: 125. 5/32” and 1/4”: 60. 5/16” and 3/8”: 40. 1/2”: 20. 5/8”: 10. Note that the 5/32” rating sits below both of its neighbours by size; that is the published figure, not a transcription error.</w:t>
            </w:r>
          </w:p>
        </w:tc>
      </w:tr>
      <w:tr>
        <w:trPr/>
        <w:tc>
          <w:tcPr>
            <w:tcW w:w="4680" w:type="dxa"/>
            <w:tcBorders/>
          </w:tcPr>
          <w:p>
            <w:pPr>
              <w:pStyle w:val="Compact"/>
              <w:widowControl/>
              <w:spacing w:before="36" w:after="36"/>
              <w:jc w:val="start"/>
              <w:rPr>
                <w:rFonts w:ascii="Cambria" w:hAnsi="Cambria" w:eastAsia="Cambria"/>
                <w:b/>
                <w:bCs/>
                <w:kern w:val="0"/>
                <w:sz w:val="24"/>
                <w:szCs w:val="24"/>
                <w:lang w:val="en-US" w:eastAsia="en-US" w:bidi="ar-SA"/>
              </w:rPr>
            </w:pPr>
            <w:r>
              <w:rPr>
                <w:rFonts w:eastAsia="Cambria"/>
                <w:b/>
                <w:bCs/>
                <w:kern w:val="0"/>
                <w:sz w:val="24"/>
                <w:szCs w:val="24"/>
                <w:lang w:val="en-US" w:eastAsia="en-US" w:bidi="ar-SA"/>
              </w:rPr>
              <w:t>Model 243</w:t>
            </w:r>
          </w:p>
        </w:tc>
        <w:tc>
          <w:tcPr>
            <w:tcW w:w="468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By orifice, and higher on a 243-12 body than a 243-8 for three of them. 1-1/4” 30°: 15. 1-1/4” 10° and 1” 30°: 25. 1” 10° and 3/4” 30°: 40. 3/4” 10°: 40 (243-8) or 60 (243-12). 1/2”: 80 or 100. 3/8”: 100 or 125. 1/4” and 0.207”: 125.</w:t>
            </w:r>
          </w:p>
        </w:tc>
      </w:tr>
      <w:tr>
        <w:trPr/>
        <w:tc>
          <w:tcPr>
            <w:tcW w:w="4680" w:type="dxa"/>
            <w:tcBorders/>
          </w:tcPr>
          <w:p>
            <w:pPr>
              <w:pStyle w:val="Compact"/>
              <w:widowControl/>
              <w:spacing w:before="36" w:after="36"/>
              <w:jc w:val="start"/>
              <w:rPr>
                <w:rFonts w:ascii="Cambria" w:hAnsi="Cambria" w:eastAsia="Cambria"/>
                <w:b/>
                <w:bCs/>
                <w:kern w:val="0"/>
                <w:sz w:val="24"/>
                <w:szCs w:val="24"/>
                <w:lang w:val="en-US" w:eastAsia="en-US" w:bidi="ar-SA"/>
              </w:rPr>
            </w:pPr>
            <w:r>
              <w:rPr>
                <w:rFonts w:eastAsia="Cambria"/>
                <w:b/>
                <w:bCs/>
                <w:kern w:val="0"/>
                <w:sz w:val="24"/>
                <w:szCs w:val="24"/>
                <w:lang w:val="en-US" w:eastAsia="en-US" w:bidi="ar-SA"/>
              </w:rPr>
              <w:t>Model 046</w:t>
            </w:r>
          </w:p>
        </w:tc>
        <w:tc>
          <w:tcPr>
            <w:tcW w:w="468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Depends on orifice and on the outlet pressure band. Outlet below 10 psi — 1/8”, 3/16”, 1/4”: 500; 5/16”, 3/8”: 300; 1/2”: 100. Outlet 10 to 125 psi — 1/8”, 3/16”: 1,000; 1/4”: 500; 5/16”: 400; 3/8”: 300; 1/2”: 100. Outlet 125 psi and above — as the middle band but 3/8” rises to 400.</w:t>
            </w:r>
          </w:p>
        </w:tc>
      </w:tr>
      <w:tr>
        <w:trPr/>
        <w:tc>
          <w:tcPr>
            <w:tcW w:w="4680" w:type="dxa"/>
            <w:tcBorders/>
          </w:tcPr>
          <w:p>
            <w:pPr>
              <w:pStyle w:val="Compact"/>
              <w:widowControl/>
              <w:spacing w:before="36" w:after="36"/>
              <w:jc w:val="start"/>
              <w:rPr>
                <w:rFonts w:ascii="Cambria" w:hAnsi="Cambria" w:eastAsia="Cambria"/>
                <w:b/>
                <w:bCs/>
                <w:kern w:val="0"/>
                <w:sz w:val="24"/>
                <w:szCs w:val="24"/>
                <w:lang w:val="en-US" w:eastAsia="en-US" w:bidi="ar-SA"/>
              </w:rPr>
            </w:pPr>
            <w:r>
              <w:rPr>
                <w:rFonts w:eastAsia="Cambria"/>
                <w:b/>
                <w:bCs/>
                <w:kern w:val="0"/>
                <w:sz w:val="24"/>
                <w:szCs w:val="24"/>
                <w:lang w:val="en-US" w:eastAsia="en-US" w:bidi="ar-SA"/>
              </w:rPr>
              <w:t>Model 121/122</w:t>
            </w:r>
          </w:p>
        </w:tc>
        <w:tc>
          <w:tcPr>
            <w:tcW w:w="468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By body. All 122 bodies: 15. The 3” 121 body: 40. Every other 121 body: 60.</w:t>
            </w:r>
          </w:p>
        </w:tc>
      </w:tr>
      <w:tr>
        <w:trPr/>
        <w:tc>
          <w:tcPr>
            <w:tcW w:w="4680" w:type="dxa"/>
            <w:tcBorders/>
          </w:tcPr>
          <w:p>
            <w:pPr>
              <w:pStyle w:val="Compact"/>
              <w:widowControl/>
              <w:spacing w:before="36" w:after="36"/>
              <w:jc w:val="start"/>
              <w:rPr>
                <w:rFonts w:ascii="Cambria" w:hAnsi="Cambria" w:eastAsia="Cambria"/>
                <w:b/>
                <w:bCs/>
                <w:kern w:val="0"/>
                <w:sz w:val="24"/>
                <w:szCs w:val="24"/>
                <w:lang w:val="en-US" w:eastAsia="en-US" w:bidi="ar-SA"/>
              </w:rPr>
            </w:pPr>
            <w:r>
              <w:rPr>
                <w:rFonts w:eastAsia="Cambria"/>
                <w:b/>
                <w:bCs/>
                <w:kern w:val="0"/>
                <w:sz w:val="24"/>
                <w:szCs w:val="24"/>
                <w:lang w:val="en-US" w:eastAsia="en-US" w:bidi="ar-SA"/>
              </w:rPr>
              <w:t>Model 441/461</w:t>
            </w:r>
          </w:p>
        </w:tc>
        <w:tc>
          <w:tcPr>
            <w:tcW w:w="468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No separate check. MAIP is one of the inputs to the per-row model availability rules in Section 8.5, and a row with no applicable model cannot be selected.</w:t>
            </w:r>
            <w:bookmarkStart w:id="10" w:name="maop-check"/>
            <w:bookmarkEnd w:id="10"/>
          </w:p>
        </w:tc>
      </w:tr>
    </w:tbl>
    <w:p>
      <w:pPr>
        <w:pStyle w:val="Heading1"/>
        <w:rPr/>
      </w:pPr>
      <w:r>
        <w:rPr/>
        <w:t>7. Table Coverage and Boundary Behaviour</w:t>
      </w:r>
    </w:p>
    <w:p>
      <w:pPr>
        <w:pStyle w:val="FirstParagraph"/>
        <w:rPr/>
      </w:pPr>
      <w:r>
        <w:rPr/>
        <w:t>The capacity tables are not clamped at their edges; instead they carry duplicated sections so that pressures near a boundary read flat. The effect is the same as an adjustment, but there is no separate adjustment step in the code.</w:t>
      </w:r>
    </w:p>
    <w:tbl>
      <w:tblPr>
        <w:tblW w:w="5000" w:type="pct"/>
        <w:jc w:val="start"/>
        <w:tblInd w:w="0" w:type="dxa"/>
        <w:tblLayout w:type="fixed"/>
        <w:tblCellMar>
          <w:top w:w="0" w:type="dxa"/>
          <w:start w:w="108" w:type="dxa"/>
          <w:bottom w:w="0" w:type="dxa"/>
          <w:end w:w="108" w:type="dxa"/>
        </w:tblCellMar>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Dataset</w:t>
            </w:r>
          </w:p>
        </w:tc>
        <w:tc>
          <w:tcPr>
            <w:tcW w:w="3120" w:type="dxa"/>
            <w:tcBorders>
              <w:bottom w:val="single" w:sz="6" w:space="0" w:color="000000"/>
            </w:tcBorders>
            <w:vAlign w:val="bottom"/>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Outlet keys (psi)</w:t>
            </w:r>
          </w:p>
        </w:tc>
        <w:tc>
          <w:tcPr>
            <w:tcW w:w="3120" w:type="dxa"/>
            <w:tcBorders>
              <w:bottom w:val="single" w:sz="6" w:space="0" w:color="000000"/>
            </w:tcBorders>
            <w:vAlign w:val="bottom"/>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Inlet keys (psi)</w:t>
            </w:r>
          </w:p>
        </w:tc>
      </w:tr>
      <w:tr>
        <w:trPr/>
        <w:tc>
          <w:tcPr>
            <w:tcW w:w="312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496</w:t>
            </w:r>
          </w:p>
        </w:tc>
        <w:tc>
          <w:tcPr>
            <w:tcW w:w="312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0.125, 0.25, 0.5, 2</w:t>
            </w:r>
          </w:p>
        </w:tc>
        <w:tc>
          <w:tcPr>
            <w:tcW w:w="312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1 to 125</w:t>
            </w:r>
          </w:p>
        </w:tc>
      </w:tr>
      <w:tr>
        <w:trPr/>
        <w:tc>
          <w:tcPr>
            <w:tcW w:w="312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143</w:t>
            </w:r>
          </w:p>
        </w:tc>
        <w:tc>
          <w:tcPr>
            <w:tcW w:w="312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0.125, 0.25, 2, 6</w:t>
            </w:r>
          </w:p>
        </w:tc>
        <w:tc>
          <w:tcPr>
            <w:tcW w:w="312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0.5 to 125, except the 2 and 6 psi sections, which start at 10</w:t>
            </w:r>
          </w:p>
        </w:tc>
      </w:tr>
      <w:tr>
        <w:trPr/>
        <w:tc>
          <w:tcPr>
            <w:tcW w:w="312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243 standard</w:t>
            </w:r>
          </w:p>
        </w:tc>
        <w:tc>
          <w:tcPr>
            <w:tcW w:w="312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0.125, 0.217, 0.25, 0.397, 0.65, 1, 2, 3, 5</w:t>
            </w:r>
          </w:p>
        </w:tc>
        <w:tc>
          <w:tcPr>
            <w:tcW w:w="312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0.5 to 125</w:t>
            </w:r>
          </w:p>
        </w:tc>
      </w:tr>
      <w:tr>
        <w:trPr/>
        <w:tc>
          <w:tcPr>
            <w:tcW w:w="312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243 high-pressure</w:t>
            </w:r>
          </w:p>
        </w:tc>
        <w:tc>
          <w:tcPr>
            <w:tcW w:w="312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3, 5, 7, 10</w:t>
            </w:r>
          </w:p>
        </w:tc>
        <w:tc>
          <w:tcPr>
            <w:tcW w:w="312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5 to 125</w:t>
            </w:r>
          </w:p>
        </w:tc>
      </w:tr>
      <w:tr>
        <w:trPr/>
        <w:tc>
          <w:tcPr>
            <w:tcW w:w="312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046</w:t>
            </w:r>
          </w:p>
        </w:tc>
        <w:tc>
          <w:tcPr>
            <w:tcW w:w="312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3 to 200</w:t>
            </w:r>
          </w:p>
        </w:tc>
        <w:tc>
          <w:tcPr>
            <w:tcW w:w="312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10 to 1,000</w:t>
            </w:r>
          </w:p>
        </w:tc>
      </w:tr>
      <w:tr>
        <w:trPr/>
        <w:tc>
          <w:tcPr>
            <w:tcW w:w="312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121 standard</w:t>
            </w:r>
          </w:p>
        </w:tc>
        <w:tc>
          <w:tcPr>
            <w:tcW w:w="312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0.18 to 3</w:t>
            </w:r>
          </w:p>
        </w:tc>
        <w:tc>
          <w:tcPr>
            <w:tcW w:w="312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0.29 to 60</w:t>
            </w:r>
          </w:p>
        </w:tc>
      </w:tr>
      <w:tr>
        <w:trPr/>
        <w:tc>
          <w:tcPr>
            <w:tcW w:w="312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122</w:t>
            </w:r>
          </w:p>
        </w:tc>
        <w:tc>
          <w:tcPr>
            <w:tcW w:w="312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0.18 to 2</w:t>
            </w:r>
          </w:p>
        </w:tc>
        <w:tc>
          <w:tcPr>
            <w:tcW w:w="312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0.29 to 15</w:t>
            </w:r>
          </w:p>
        </w:tc>
      </w:tr>
      <w:tr>
        <w:trPr/>
        <w:tc>
          <w:tcPr>
            <w:tcW w:w="312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121 high-pressure</w:t>
            </w:r>
          </w:p>
        </w:tc>
        <w:tc>
          <w:tcPr>
            <w:tcW w:w="312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3, 5, 10</w:t>
            </w:r>
          </w:p>
        </w:tc>
        <w:tc>
          <w:tcPr>
            <w:tcW w:w="312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5 to 60</w:t>
            </w:r>
          </w:p>
        </w:tc>
      </w:tr>
    </w:tbl>
    <w:p>
      <w:pPr>
        <w:pStyle w:val="BodyText"/>
        <w:rPr/>
      </w:pPr>
      <w:r>
        <w:rPr/>
        <w:t>Where a section is duplicated:</w:t>
      </w:r>
    </w:p>
    <w:p>
      <w:pPr>
        <w:pStyle w:val="Compact"/>
        <w:numPr>
          <w:ilvl w:val="0"/>
          <w:numId w:val="41"/>
        </w:numPr>
        <w:rPr/>
      </w:pPr>
      <w:r>
        <w:rPr>
          <w:b/>
          <w:bCs/>
        </w:rPr>
        <w:t>496 outlet:</w:t>
      </w:r>
      <w:r>
        <w:rPr/>
        <w:t xml:space="preserve"> the 0.125 psi (3.5” wc) section is identical to the 0.25 psi (7” wc) section, so capacity is flat between them. Spring selection still uses the true outlet pressure.</w:t>
      </w:r>
    </w:p>
    <w:p>
      <w:pPr>
        <w:pStyle w:val="Compact"/>
        <w:numPr>
          <w:ilvl w:val="0"/>
          <w:numId w:val="42"/>
        </w:numPr>
        <w:rPr/>
      </w:pPr>
      <w:r>
        <w:rPr>
          <w:b/>
          <w:bCs/>
        </w:rPr>
        <w:t>496 inlet:</w:t>
      </w:r>
      <w:r>
        <w:rPr/>
        <w:t xml:space="preserve"> the 100 psi and 125 psi columns are identical, so capacity is flat from 100 to 125 psi inlet.</w:t>
      </w:r>
    </w:p>
    <w:p>
      <w:pPr>
        <w:pStyle w:val="Compact"/>
        <w:numPr>
          <w:ilvl w:val="0"/>
          <w:numId w:val="43"/>
        </w:numPr>
        <w:rPr/>
      </w:pPr>
      <w:r>
        <w:rPr>
          <w:b/>
          <w:bCs/>
        </w:rPr>
        <w:t>143 outlet:</w:t>
      </w:r>
      <w:r>
        <w:rPr/>
        <w:t xml:space="preserve"> 0.125 psi is identical to 0.25 psi, and 2 psi is identical to 6 psi on every inlet the two share — so any outlet from 2 to 6 psi reads the 2 psi capacities while the spring is chosen for the true pressure. The 2 psi section also carries a 5 psi inlet row that the 6 psi section does not, which is what produces the limit below.</w:t>
      </w:r>
    </w:p>
    <w:p>
      <w:pPr>
        <w:pStyle w:val="Compact"/>
        <w:numPr>
          <w:ilvl w:val="0"/>
          <w:numId w:val="44"/>
        </w:numPr>
        <w:rPr/>
      </w:pPr>
      <w:r>
        <w:rPr>
          <w:b/>
          <w:bCs/>
        </w:rPr>
        <w:t>243 outlet:</w:t>
      </w:r>
      <w:r>
        <w:rPr/>
        <w:t xml:space="preserve"> 0.125 psi is identical to 0.217 psi; above that the table interpolates normally.</w:t>
      </w:r>
    </w:p>
    <w:p>
      <w:pPr>
        <w:pStyle w:val="Compact"/>
        <w:numPr>
          <w:ilvl w:val="0"/>
          <w:numId w:val="45"/>
        </w:numPr>
        <w:rPr/>
      </w:pPr>
      <w:r>
        <w:rPr>
          <w:b/>
          <w:bCs/>
        </w:rPr>
        <w:t>046 outlet:</w:t>
      </w:r>
      <w:r>
        <w:rPr/>
        <w:t xml:space="preserve"> the 3 psi section is identical to the 5 psi section.</w:t>
      </w:r>
    </w:p>
    <w:p>
      <w:pPr>
        <w:pStyle w:val="FirstParagraph"/>
        <w:rPr/>
      </w:pPr>
      <w:r>
        <w:rPr/>
        <w:t>Two consequences worth knowing:</w:t>
      </w:r>
    </w:p>
    <w:p>
      <w:pPr>
        <w:pStyle w:val="Compact"/>
        <w:numPr>
          <w:ilvl w:val="0"/>
          <w:numId w:val="46"/>
        </w:numPr>
        <w:rPr/>
      </w:pPr>
      <w:r>
        <w:rPr/>
        <w:t>An outlet below 0.125 psi (3.5” wc) is outside every tabular family’s range, so only Model 441/461 can answer it, even though validation accepts outlets down to 1.5” wc.</w:t>
      </w:r>
    </w:p>
    <w:p>
      <w:pPr>
        <w:pStyle w:val="Compact"/>
        <w:numPr>
          <w:ilvl w:val="0"/>
          <w:numId w:val="47"/>
        </w:numPr>
        <w:rPr/>
      </w:pPr>
      <w:r>
        <w:rPr/>
        <w:t>Model 121/122 data starts at 0.18 psi (about 5” wc), so that family is unavailable below it.</w:t>
      </w:r>
    </w:p>
    <w:p>
      <w:pPr>
        <w:pStyle w:val="Compact"/>
        <w:numPr>
          <w:ilvl w:val="0"/>
          <w:numId w:val="48"/>
        </w:numPr>
        <w:rPr/>
      </w:pPr>
      <w:r>
        <w:rPr/>
        <w:t>Model 143 is unavailable above a 2 psi outlet whenever the inlet is below 10 psi. Interpolating an outlet in that band needs both the 2 and 6 psi sections to bracket the actual inlet, and the 6 psi section starts at 10 psi. This is intended — the 143 is not offered there — but it is enforced by the shape of the data rather than by a rule in the code.</w:t>
      </w:r>
    </w:p>
    <w:p>
      <w:pPr>
        <w:pStyle w:val="Heading1"/>
        <w:rPr/>
      </w:pPr>
      <w:bookmarkStart w:id="11" w:name="model-specific-sizing-logic"/>
      <w:r>
        <w:rPr/>
        <w:t>8. Model-Specific Sizing Logic</w:t>
      </w:r>
    </w:p>
    <w:p>
      <w:pPr>
        <w:pStyle w:val="Heading2"/>
        <w:rPr/>
      </w:pPr>
      <w:bookmarkStart w:id="12" w:name="model-496"/>
      <w:r>
        <w:rPr/>
        <w:t>8.1 Model 496</w:t>
      </w:r>
    </w:p>
    <w:p>
      <w:pPr>
        <w:pStyle w:val="Compact"/>
        <w:numPr>
          <w:ilvl w:val="0"/>
          <w:numId w:val="49"/>
        </w:numPr>
        <w:rPr/>
      </w:pPr>
      <w:r>
        <w:rPr/>
        <w:t>Bodies: 3/8”, 1/2”, 3/4”, 1”. Tried smallest to largest, unless a pipe size moves the matching body first.</w:t>
      </w:r>
    </w:p>
    <w:p>
      <w:pPr>
        <w:pStyle w:val="Compact"/>
        <w:numPr>
          <w:ilvl w:val="0"/>
          <w:numId w:val="50"/>
        </w:numPr>
        <w:rPr/>
      </w:pPr>
      <w:r>
        <w:rPr/>
        <w:t>Orifices, largest to smallest: 1/2”, 3/8”, 5/16”, 1/4”, 3/16”, 1/8”.</w:t>
      </w:r>
    </w:p>
    <w:p>
      <w:pPr>
        <w:pStyle w:val="Compact"/>
        <w:numPr>
          <w:ilvl w:val="0"/>
          <w:numId w:val="51"/>
        </w:numPr>
        <w:rPr/>
      </w:pPr>
      <w:r>
        <w:rPr>
          <w:b/>
          <w:bCs/>
        </w:rPr>
        <w:t>A monitor request is converted to IRV</w:t>
      </w:r>
      <w:r>
        <w:rPr/>
        <w:t>, because the 496 has no monitor option in this tool.</w:t>
      </w:r>
    </w:p>
    <w:p>
      <w:pPr>
        <w:pStyle w:val="Compact"/>
        <w:numPr>
          <w:ilvl w:val="0"/>
          <w:numId w:val="52"/>
        </w:numPr>
        <w:rPr/>
      </w:pPr>
      <w:r>
        <w:rPr/>
        <w:t>If IRV is requested and the outlet pressure is exactly 2 psi, the family is skipped with the warning “IRV could not be sized”.</w:t>
      </w:r>
    </w:p>
    <w:p>
      <w:pPr>
        <w:pStyle w:val="Compact"/>
        <w:numPr>
          <w:ilvl w:val="0"/>
          <w:numId w:val="53"/>
        </w:numPr>
        <w:rPr/>
      </w:pPr>
      <w:r>
        <w:rPr/>
        <w:t>Spring from the actual outlet pressure: Silver (3.5” – 10.5” wc), Blue (6” – 8” wc), Green (6” – 14” wc), Red (12” – 28” wc), Black (1 – 2 psi).</w:t>
      </w:r>
    </w:p>
    <w:p>
      <w:pPr>
        <w:pStyle w:val="Compact"/>
        <w:numPr>
          <w:ilvl w:val="0"/>
          <w:numId w:val="54"/>
        </w:numPr>
        <w:rPr/>
      </w:pPr>
      <w:r>
        <w:rPr/>
        <w:t>IRV compatibility: a table of outlet pressure build-up per orifice, indexed by inlet pressure, is interpolated linearly on the actual inlet (clamped at the ends of the table). The candidate passes when build-up + outlet pressure is at or below the IRV protect pressure. A blank in the table is treated as a fail.</w:t>
      </w:r>
    </w:p>
    <w:p>
      <w:pPr>
        <w:pStyle w:val="Compact"/>
        <w:numPr>
          <w:ilvl w:val="0"/>
          <w:numId w:val="55"/>
        </w:numPr>
        <w:rPr/>
      </w:pPr>
      <w:bookmarkStart w:id="13" w:name="model-496"/>
      <w:r>
        <w:rPr/>
        <w:t>Partial IRV skips the check and reports “Partial”.</w:t>
      </w:r>
      <w:bookmarkEnd w:id="13"/>
    </w:p>
    <w:p>
      <w:pPr>
        <w:pStyle w:val="Heading2"/>
        <w:rPr/>
      </w:pPr>
      <w:bookmarkStart w:id="14" w:name="model-143"/>
      <w:r>
        <w:rPr/>
        <w:t>8.2 Model 143</w:t>
      </w:r>
    </w:p>
    <w:p>
      <w:pPr>
        <w:pStyle w:val="Compact"/>
        <w:numPr>
          <w:ilvl w:val="0"/>
          <w:numId w:val="56"/>
        </w:numPr>
        <w:rPr/>
      </w:pPr>
      <w:r>
        <w:rPr/>
        <w:t>Bodies: 3/4”, 1”, 1-1/4”. Orifices, largest to smallest: 5/8”, 1/2”, 3/8”, 5/16”, 1/4”, 3/16”, 5/32”, 9/64”, 1/8”.</w:t>
      </w:r>
    </w:p>
    <w:p>
      <w:pPr>
        <w:pStyle w:val="Compact"/>
        <w:numPr>
          <w:ilvl w:val="0"/>
          <w:numId w:val="57"/>
        </w:numPr>
        <w:rPr/>
      </w:pPr>
      <w:r>
        <w:rPr>
          <w:b/>
          <w:bCs/>
        </w:rPr>
        <w:t>A monitor request is converted to IRV.</w:t>
      </w:r>
      <w:r>
        <w:rPr/>
        <w:t xml:space="preserve"> If IRV is then requested with an outlet above 2 psi, the family is skipped with the warning “IRV could not be sized” and no capacity is calculated.</w:t>
      </w:r>
    </w:p>
    <w:p>
      <w:pPr>
        <w:pStyle w:val="Compact"/>
        <w:numPr>
          <w:ilvl w:val="0"/>
          <w:numId w:val="58"/>
        </w:numPr>
        <w:rPr/>
      </w:pPr>
      <w:r>
        <w:rPr/>
        <w:t>Model designation: 143-2HP whenever the outlet exceeds 2 psi, otherwise 143-2 with protection and 143-1 without.</w:t>
      </w:r>
    </w:p>
    <w:p>
      <w:pPr>
        <w:pStyle w:val="Compact"/>
        <w:numPr>
          <w:ilvl w:val="0"/>
          <w:numId w:val="59"/>
        </w:numPr>
        <w:rPr/>
      </w:pPr>
      <w:r>
        <w:rPr/>
        <w:t>Spring from the actual outlet: Red (3.5” – 6.5” wc), Blue (5” – 8.5” wc), Green (6” – 14” wc), Orange (12” – 28” wc), Black + White (0.5 – 2 psi), Cadmium (0.5 – 3 psi), Black (2 – 6 psi).</w:t>
      </w:r>
    </w:p>
    <w:p>
      <w:pPr>
        <w:pStyle w:val="Compact"/>
        <w:numPr>
          <w:ilvl w:val="0"/>
          <w:numId w:val="60"/>
        </w:numPr>
        <w:rPr/>
      </w:pPr>
      <w:bookmarkStart w:id="15" w:name="model-143"/>
      <w:r>
        <w:rPr/>
        <w:t>IRV compatibility uses the same build-up mechanism as the 496, with 143 tables: a standard table when the outlet is 0.5 psi or below and a high-pressure table above it. Both tables now carry a value for every orifice, including 1/2” and 5/8”, which were previously blank and therefore always failed the check; both also begin at a zero row, so a low inlet interpolates rather than clamping.</w:t>
      </w:r>
      <w:bookmarkEnd w:id="15"/>
    </w:p>
    <w:p>
      <w:pPr>
        <w:pStyle w:val="Heading2"/>
        <w:rPr/>
      </w:pPr>
      <w:bookmarkStart w:id="16" w:name="model-243"/>
      <w:r>
        <w:rPr/>
        <w:t>8.3 Model 243</w:t>
      </w:r>
    </w:p>
    <w:p>
      <w:pPr>
        <w:pStyle w:val="Compact"/>
        <w:numPr>
          <w:ilvl w:val="0"/>
          <w:numId w:val="61"/>
        </w:numPr>
        <w:rPr/>
      </w:pPr>
      <w:r>
        <w:rPr/>
        <w:t>Two body series: standard (243-8 and 243-12, in 1-1/4”, 1-1/2” and 2”, plus a 243-12 External Control Line variant) and high-pressure (243-8HP, in 1-1/4”, 1-1/2” and 2”).</w:t>
      </w:r>
    </w:p>
    <w:p>
      <w:pPr>
        <w:pStyle w:val="Compact"/>
        <w:numPr>
          <w:ilvl w:val="0"/>
          <w:numId w:val="62"/>
        </w:numPr>
        <w:rPr/>
      </w:pPr>
      <w:r>
        <w:rPr>
          <w:b/>
          <w:bCs/>
        </w:rPr>
        <w:t>An IRV request at an outlet of 2 psi or more is switched to monitor sizing</w:t>
      </w:r>
      <w:r>
        <w:rPr/>
        <w:t>, with a warning to that effect. IRV is only attempted below 2 psi.</w:t>
      </w:r>
    </w:p>
    <w:p>
      <w:pPr>
        <w:pStyle w:val="Compact"/>
        <w:numPr>
          <w:ilvl w:val="0"/>
          <w:numId w:val="63"/>
        </w:numPr>
        <w:rPr/>
      </w:pPr>
      <w:r>
        <w:rPr/>
        <w:t>Data set: outlet 3 psi or below uses standard data. Between 3 and 5 psi, high-pressure data is used for a monitor and standard data otherwise. Above 5 psi, high-pressure data.</w:t>
      </w:r>
    </w:p>
    <w:p>
      <w:pPr>
        <w:pStyle w:val="Compact"/>
        <w:numPr>
          <w:ilvl w:val="0"/>
          <w:numId w:val="64"/>
        </w:numPr>
        <w:rPr/>
      </w:pPr>
      <w:r>
        <w:rPr/>
        <w:t>IRV fallback: if IRV is attempted and no body/orifice passes, the tool retries with monitor sizing rather than giving up — switching to high-pressure data first if the outlet is above 3 psi — and warns “IRV curves did not work for your application, sized for worker/monitor setup”. If monitor also fails, the family is skipped.</w:t>
      </w:r>
    </w:p>
    <w:p>
      <w:pPr>
        <w:pStyle w:val="Compact"/>
        <w:numPr>
          <w:ilvl w:val="0"/>
          <w:numId w:val="65"/>
        </w:numPr>
        <w:rPr/>
      </w:pPr>
      <w:r>
        <w:rPr/>
        <w:t>Orifice order, largest to smallest: 1-1/4” 10°, 1” 10°, 1-1/4” 30°, 1” 30°, 3/4” 30°, 3/4” 10°, 1/2”, 3/8”, 1/4”, 0.207”.</w:t>
      </w:r>
    </w:p>
    <w:p>
      <w:pPr>
        <w:pStyle w:val="Compact"/>
        <w:numPr>
          <w:ilvl w:val="0"/>
          <w:numId w:val="66"/>
        </w:numPr>
        <w:rPr/>
      </w:pPr>
      <w:r>
        <w:rPr/>
        <w:t>Pipe size priority moves both bodies of that size (243-8 and 243-12) to the front; the External Control Line body is last and is never used for IRV.</w:t>
      </w:r>
    </w:p>
    <w:p>
      <w:pPr>
        <w:pStyle w:val="Compact"/>
        <w:numPr>
          <w:ilvl w:val="0"/>
          <w:numId w:val="67"/>
        </w:numPr>
        <w:rPr/>
      </w:pPr>
      <w:r>
        <w:rPr/>
        <w:t>Monitor setpoint: outlet + 0.5 below 1 psi; outlet + 1 up to 2 psi; outlet + 2 up to 5 psi; outlet + 3 up to 7 psi; 10 psi above that. Capped at the IRV protect pressure if one was entered.</w:t>
      </w:r>
    </w:p>
    <w:p>
      <w:pPr>
        <w:pStyle w:val="Compact"/>
        <w:numPr>
          <w:ilvl w:val="0"/>
          <w:numId w:val="68"/>
        </w:numPr>
        <w:rPr/>
      </w:pPr>
      <w:r>
        <w:rPr/>
        <w:t>A monitor candidate is only accepted if a monitor spring exists at that setpoint.</w:t>
      </w:r>
    </w:p>
    <w:p>
      <w:pPr>
        <w:pStyle w:val="Compact"/>
        <w:numPr>
          <w:ilvl w:val="0"/>
          <w:numId w:val="69"/>
        </w:numPr>
        <w:rPr/>
      </w:pPr>
      <w:bookmarkStart w:id="17" w:name="model-243"/>
      <w:r>
        <w:rPr/>
        <w:t>Model names: 243-8-1 / 243-12-1 without IRV, 243-8-2 / 243-12-2 with IRV, “243-12-1 with External Control Line”, or 243-8HP. The External Control Line body reports a body size of 2”; it previously reported “Any Size”, which was the same physical body and produced the same part number segment.</w:t>
      </w:r>
      <w:bookmarkEnd w:id="17"/>
    </w:p>
    <w:p>
      <w:pPr>
        <w:pStyle w:val="Heading2"/>
        <w:rPr/>
      </w:pPr>
      <w:bookmarkStart w:id="18" w:name="model-046"/>
      <w:r>
        <w:rPr/>
        <w:t>8.4 Model 046</w:t>
      </w:r>
    </w:p>
    <w:p>
      <w:pPr>
        <w:pStyle w:val="Compact"/>
        <w:numPr>
          <w:ilvl w:val="0"/>
          <w:numId w:val="70"/>
        </w:numPr>
        <w:rPr/>
      </w:pPr>
      <w:r>
        <w:rPr/>
        <w:t>Two body families: IRV bodies (reported as model 046-2) and standard bodies (reported as model 046). Each is available in 3/4”, 1” and 1-1/4”.</w:t>
      </w:r>
    </w:p>
    <w:p>
      <w:pPr>
        <w:pStyle w:val="Compact"/>
        <w:numPr>
          <w:ilvl w:val="0"/>
          <w:numId w:val="71"/>
        </w:numPr>
        <w:rPr/>
      </w:pPr>
      <w:r>
        <w:rPr/>
        <w:t>Orifices, largest to smallest: 1/2”, 3/8”, 5/16”, 1/4”, 3/16”, 1/8”.</w:t>
      </w:r>
    </w:p>
    <w:p>
      <w:pPr>
        <w:pStyle w:val="Compact"/>
        <w:numPr>
          <w:ilvl w:val="0"/>
          <w:numId w:val="72"/>
        </w:numPr>
        <w:rPr/>
      </w:pPr>
      <w:r>
        <w:rPr/>
        <w:t>When IRV is requested, only IRV bodies are tried. If none works, the tool falls back to monitor sizing with standard bodies and warns “IRV curves did not work for your application, sized for worker/monitor setup”.</w:t>
      </w:r>
    </w:p>
    <w:p>
      <w:pPr>
        <w:pStyle w:val="Compact"/>
        <w:numPr>
          <w:ilvl w:val="0"/>
          <w:numId w:val="73"/>
        </w:numPr>
        <w:rPr/>
      </w:pPr>
      <w:r>
        <w:rPr/>
        <w:t>When Monitor is requested, only standard bodies are used.</w:t>
      </w:r>
    </w:p>
    <w:p>
      <w:pPr>
        <w:pStyle w:val="Compact"/>
        <w:numPr>
          <w:ilvl w:val="0"/>
          <w:numId w:val="74"/>
        </w:numPr>
        <w:rPr/>
      </w:pPr>
      <w:r>
        <w:rPr/>
        <w:t>Spring from the actual outlet: Yellow (3 – 10 psi), Aluminum (8 – 20 psi), White (15 – 52 psi), Green (10 – 95 psi), Tan (50 – 125 psi), Gray (100 – 200 psi, cannot be used with the 046-2). Above 200 psi there is no spring.</w:t>
      </w:r>
    </w:p>
    <w:p>
      <w:pPr>
        <w:pStyle w:val="Compact"/>
        <w:numPr>
          <w:ilvl w:val="0"/>
          <w:numId w:val="75"/>
        </w:numPr>
        <w:rPr/>
      </w:pPr>
      <w:r>
        <w:rPr/>
        <w:t>IRV compatibility uses spring-specific build-up curves, interpolated on inlet pressure the same way as the 496 and 143. Curves exist for the Yellow, Aluminum, White, Green and Tan springs. There are none for Gray, and the IRV bodies have no capacity data above a 125 psi outlet, so IRV is in practice unavailable above that pressure.</w:t>
      </w:r>
    </w:p>
    <w:p>
      <w:pPr>
        <w:pStyle w:val="Compact"/>
        <w:numPr>
          <w:ilvl w:val="0"/>
          <w:numId w:val="76"/>
        </w:numPr>
        <w:rPr/>
      </w:pPr>
      <w:r>
        <w:rPr/>
        <w:t>Monitor setpoint: outlet + 2 up to 5 psi; + 3 up to 10 psi; + 4 up to 20 psi; + 5 up to 50 psi; + 7 up to 100 psi; + 10 up to 190 psi; 200 psi above that. Capped at the IRV protect pressure if one was entered.</w:t>
      </w:r>
    </w:p>
    <w:p>
      <w:pPr>
        <w:pStyle w:val="Compact"/>
        <w:numPr>
          <w:ilvl w:val="0"/>
          <w:numId w:val="77"/>
        </w:numPr>
        <w:rPr/>
      </w:pPr>
      <w:bookmarkStart w:id="19" w:name="model-046"/>
      <w:r>
        <w:rPr/>
        <w:t>Seat: always Poly-Tan. The code tests MAIP below 600 psi and a differential below 400 psi, but both branches return Poly-Tan.</w:t>
      </w:r>
      <w:bookmarkEnd w:id="19"/>
    </w:p>
    <w:p>
      <w:pPr>
        <w:pStyle w:val="Heading2"/>
        <w:rPr/>
      </w:pPr>
      <w:bookmarkStart w:id="20" w:name="model-441461"/>
      <w:r>
        <w:rPr/>
        <w:t>8.5 Model 441/461</w:t>
      </w:r>
    </w:p>
    <w:p>
      <w:pPr>
        <w:pStyle w:val="Compact"/>
        <w:numPr>
          <w:ilvl w:val="0"/>
          <w:numId w:val="78"/>
        </w:numPr>
        <w:rPr/>
      </w:pPr>
      <w:r>
        <w:rPr/>
        <w:t>No pipe size prioritisation: bodies are always evaluated 2”, 3”, 4”, 6”.</w:t>
      </w:r>
    </w:p>
    <w:p>
      <w:pPr>
        <w:pStyle w:val="Compact"/>
        <w:numPr>
          <w:ilvl w:val="0"/>
          <w:numId w:val="79"/>
        </w:numPr>
        <w:rPr/>
      </w:pPr>
      <w:r>
        <w:rPr/>
        <w:t>Fifteen standard rows and thirteen V-Port rows are evaluated on every run.</w:t>
      </w:r>
    </w:p>
    <w:p>
      <w:pPr>
        <w:pStyle w:val="FirstParagraph"/>
        <w:rPr/>
      </w:pPr>
      <w:r>
        <w:rPr/>
        <w:t>Standard valve rows (body, orifice, K):</w:t>
      </w:r>
    </w:p>
    <w:p>
      <w:pPr>
        <w:pStyle w:val="Compact"/>
        <w:numPr>
          <w:ilvl w:val="0"/>
          <w:numId w:val="80"/>
        </w:numPr>
        <w:rPr/>
      </w:pPr>
      <w:r>
        <w:rPr/>
        <w:t>2” body: 11/16” single (650), 11/16” double (1000), 1” single (1300), 1” double (2000), 1-1/2” (4270), 1-3/4” (5450)</w:t>
      </w:r>
    </w:p>
    <w:p>
      <w:pPr>
        <w:pStyle w:val="Compact"/>
        <w:numPr>
          <w:ilvl w:val="0"/>
          <w:numId w:val="81"/>
        </w:numPr>
        <w:rPr/>
      </w:pPr>
      <w:r>
        <w:rPr/>
        <w:t>3” body: 1-1/2” (4270), 1-3/4” (6630), 2-1/8” (8880)</w:t>
      </w:r>
    </w:p>
    <w:p>
      <w:pPr>
        <w:pStyle w:val="Compact"/>
        <w:numPr>
          <w:ilvl w:val="0"/>
          <w:numId w:val="82"/>
        </w:numPr>
        <w:rPr/>
      </w:pPr>
      <w:r>
        <w:rPr/>
        <w:t>4” body: 1-3/4” (5420), 2-1/8” (8880), 3” (17740)</w:t>
      </w:r>
    </w:p>
    <w:p>
      <w:pPr>
        <w:pStyle w:val="Compact"/>
        <w:numPr>
          <w:ilvl w:val="0"/>
          <w:numId w:val="83"/>
        </w:numPr>
        <w:rPr/>
      </w:pPr>
      <w:r>
        <w:rPr/>
        <w:t>6” body: 2-1/8” (8880), 3” (18500), 4-1/4” (33000)</w:t>
      </w:r>
    </w:p>
    <w:p>
      <w:pPr>
        <w:pStyle w:val="FirstParagraph"/>
        <w:rPr/>
      </w:pPr>
      <w:r>
        <w:rPr/>
        <w:t>V-Port valve rows (body, orifice, K):</w:t>
      </w:r>
    </w:p>
    <w:p>
      <w:pPr>
        <w:pStyle w:val="Compact"/>
        <w:numPr>
          <w:ilvl w:val="0"/>
          <w:numId w:val="84"/>
        </w:numPr>
        <w:rPr/>
      </w:pPr>
      <w:r>
        <w:rPr/>
        <w:t>2” body: 1” single (975), 1” double (1500), 1-1/2” (4160), 1-3/4” (5260)</w:t>
      </w:r>
    </w:p>
    <w:p>
      <w:pPr>
        <w:pStyle w:val="Compact"/>
        <w:numPr>
          <w:ilvl w:val="0"/>
          <w:numId w:val="85"/>
        </w:numPr>
        <w:rPr/>
      </w:pPr>
      <w:r>
        <w:rPr/>
        <w:t>3” body: 1-1/2” (4160), 1-3/4” (6390), 2-1/8” (8440)</w:t>
      </w:r>
    </w:p>
    <w:p>
      <w:pPr>
        <w:pStyle w:val="Compact"/>
        <w:numPr>
          <w:ilvl w:val="0"/>
          <w:numId w:val="86"/>
        </w:numPr>
        <w:rPr/>
      </w:pPr>
      <w:r>
        <w:rPr/>
        <w:t>4” body: 1-3/4” (5260), 2-1/8” (8440), 3” (13850)</w:t>
      </w:r>
    </w:p>
    <w:p>
      <w:pPr>
        <w:pStyle w:val="Compact"/>
        <w:numPr>
          <w:ilvl w:val="0"/>
          <w:numId w:val="87"/>
        </w:numPr>
        <w:rPr/>
      </w:pPr>
      <w:r>
        <w:rPr/>
        <w:t>6” body: 2-1/8” (8440), 3” (14430), 4-1/4” (25500)</w:t>
      </w:r>
    </w:p>
    <w:p>
      <w:pPr>
        <w:pStyle w:val="FirstParagraph"/>
        <w:rPr/>
      </w:pPr>
      <w:r>
        <w:rPr/>
        <w:t>V-Port rows use lower K values than their standard counterparts, which is what produces their lower capacity, and the V-Port table has no 11/16” orifices.</w:t>
      </w:r>
    </w:p>
    <w:p>
      <w:pPr>
        <w:pStyle w:val="BodyText"/>
        <w:rPr/>
      </w:pPr>
      <w:r>
        <w:rPr>
          <w:b/>
          <w:bCs/>
        </w:rPr>
        <w:t>Selection.</w:t>
      </w:r>
      <w:r>
        <w:rPr/>
        <w:t xml:space="preserve"> The first working row in the preferred table is taken — the V-Port table when V-Port is preferred, otherwise the standard table. If the preferred table has no working row, the first working row in the other table is used. When the V-Port table supplies the selection, ” VP” is appended to the orifice name (for example, “1-1/2” VP”).</w:t>
      </w:r>
    </w:p>
    <w:p>
      <w:pPr>
        <w:pStyle w:val="BodyText"/>
        <w:rPr/>
      </w:pPr>
      <w:r>
        <w:rPr>
          <w:b/>
          <w:bCs/>
        </w:rPr>
        <w:t>Model availability</w:t>
      </w:r>
      <w:r>
        <w:rPr/>
        <w:t xml:space="preserve"> is determined per row from inlet pressure, MAIP, outlet pressure, body size and the row’s own pressure ceiling:</w:t>
      </w:r>
    </w:p>
    <w:p>
      <w:pPr>
        <w:pStyle w:val="Compact"/>
        <w:numPr>
          <w:ilvl w:val="0"/>
          <w:numId w:val="88"/>
        </w:numPr>
        <w:rPr/>
      </w:pPr>
      <w:r>
        <w:rPr/>
        <w:t>461 single-valve orifices (11/16” single, 1” single): with inlet and MAIP at 175 psi or below, N/A under 1 psi outlet, then 461-S to 3 psi, “461-S or 461-57S” to 10 psi, 461-57S to 75 psi, “461-57S or 461-X57” to 100 psi, 461-X57 to 250 psi. With inlet and MAIP up to 1,000 psi, the outlet must be at least 3 psi and the same ladder applies from 461-57S upwards.</w:t>
      </w:r>
    </w:p>
    <w:p>
      <w:pPr>
        <w:pStyle w:val="Compact"/>
        <w:numPr>
          <w:ilvl w:val="0"/>
          <w:numId w:val="89"/>
        </w:numPr>
        <w:rPr/>
      </w:pPr>
      <w:r>
        <w:rPr/>
        <w:t>461 double-valve orifices: the same, except there is no 1 psi floor in the 175 psi tier.</w:t>
      </w:r>
    </w:p>
    <w:p>
      <w:pPr>
        <w:pStyle w:val="Compact"/>
        <w:numPr>
          <w:ilvl w:val="0"/>
          <w:numId w:val="90"/>
        </w:numPr>
        <w:rPr/>
      </w:pPr>
      <w:r>
        <w:rPr/>
        <w:t>441 2” body: N/A below 5.25” wc outlet. With inlet and MAIP at 100 psi or below, 441-S to 3 psi, “441-S or 441-57S” to 6 psi, 441-57S to 75 psi, “441-57S or 441-X57” to 100 psi, 441-X57 to 250 psi. Above that tier the row’s own ceiling applies (1,000 psi for the 1-1/2” orifice; 575 psi, then a 1,000 psi second tier, for the 1-3/4”), the outlet must be at least 3 psi, and the second tier is limited to 441-57S up to a 100 psi outlet.</w:t>
      </w:r>
    </w:p>
    <w:p>
      <w:pPr>
        <w:pStyle w:val="Compact"/>
        <w:numPr>
          <w:ilvl w:val="0"/>
          <w:numId w:val="91"/>
        </w:numPr>
        <w:rPr/>
      </w:pPr>
      <w:r>
        <w:rPr/>
        <w:t>441 3” body: as the 2” body but with no low-outlet floor. Ceilings by orifice: 1-1/2” 1,000 psi; 1-3/4” 575 then 1,000 psi; 2-1/8” 400 then 500 psi.</w:t>
      </w:r>
    </w:p>
    <w:p>
      <w:pPr>
        <w:pStyle w:val="Compact"/>
        <w:numPr>
          <w:ilvl w:val="0"/>
          <w:numId w:val="92"/>
        </w:numPr>
        <w:rPr/>
      </w:pPr>
      <w:r>
        <w:rPr/>
        <w:t>441 4” body: 441-S to a 3 psi outlet and “441-S or 441-57S” to 6 psi in the 100 psi tier, then 441-57S to a 100 psi outlet. Above the 100 psi tier the row ceiling applies (1-3/4” 1,000 psi; 2-1/8” 500 psi; 3” 300 psi) and the inlet must also be below 720 psi.</w:t>
      </w:r>
    </w:p>
    <w:p>
      <w:pPr>
        <w:pStyle w:val="Compact"/>
        <w:numPr>
          <w:ilvl w:val="0"/>
          <w:numId w:val="93"/>
        </w:numPr>
        <w:rPr/>
      </w:pPr>
      <w:r>
        <w:rPr/>
        <w:t>441 6” body: 441-57S only, outlet 3 to 100 psi, within the row ceiling (2-1/8” 500 psi; 3” 300 psi; 4-1/4” 150 psi).</w:t>
      </w:r>
    </w:p>
    <w:p>
      <w:pPr>
        <w:pStyle w:val="Compact"/>
        <w:numPr>
          <w:ilvl w:val="0"/>
          <w:numId w:val="94"/>
        </w:numPr>
        <w:rPr/>
      </w:pPr>
      <w:r>
        <w:rPr/>
        <w:t>Any row outside these rules is N/A and cannot be selected.</w:t>
      </w:r>
    </w:p>
    <w:p>
      <w:pPr>
        <w:pStyle w:val="FirstParagraph"/>
        <w:rPr/>
      </w:pPr>
      <w:r>
        <w:rPr>
          <w:b/>
          <w:bCs/>
        </w:rPr>
        <w:t>Resolving an ambiguous model.</w:t>
      </w:r>
      <w:r>
        <w:rPr/>
        <w:t xml:space="preserve"> Where a row reports two models, the outlet pressure decides: “461-S or 461-57S” and “441-S or 441-57S” resolve to the S model at an outlet of 3 psi or below and to the 57S above it; “461-57S or 461-X57” and “441-57S or 441-X57” resolve to the 57S at 72 psi or below and to the X57 above it.</w:t>
      </w:r>
    </w:p>
    <w:p>
      <w:pPr>
        <w:pStyle w:val="BodyText"/>
        <w:rPr/>
      </w:pPr>
      <w:r>
        <w:rPr>
          <w:b/>
          <w:bCs/>
        </w:rPr>
        <w:t>ANSI class</w:t>
      </w:r>
      <w:r>
        <w:rPr/>
        <w:t xml:space="preserve"> is appended to the body size:</w:t>
      </w:r>
    </w:p>
    <w:p>
      <w:pPr>
        <w:pStyle w:val="Compact"/>
        <w:numPr>
          <w:ilvl w:val="0"/>
          <w:numId w:val="95"/>
        </w:numPr>
        <w:rPr/>
      </w:pPr>
      <w:r>
        <w:rPr/>
        <w:t>441-S and 461-S: always ANSI125.</w:t>
      </w:r>
    </w:p>
    <w:p>
      <w:pPr>
        <w:pStyle w:val="Compact"/>
        <w:numPr>
          <w:ilvl w:val="0"/>
          <w:numId w:val="96"/>
        </w:numPr>
        <w:rPr/>
      </w:pPr>
      <w:r>
        <w:rPr/>
        <w:t>441-X57 and 461-X57: ANSI250 when MAIP is 575 psi or below, ANSI300 to 720 psi, ANSI600 above.</w:t>
      </w:r>
    </w:p>
    <w:p>
      <w:pPr>
        <w:pStyle w:val="Compact"/>
        <w:numPr>
          <w:ilvl w:val="0"/>
          <w:numId w:val="97"/>
        </w:numPr>
        <w:rPr/>
      </w:pPr>
      <w:r>
        <w:rPr/>
        <w:t>All other models: ANSI125 to 175 psi, ANSI250 to 575 psi, ANSI300 to 720 psi, ANSI600 above.</w:t>
      </w:r>
    </w:p>
    <w:p>
      <w:pPr>
        <w:pStyle w:val="FirstParagraph"/>
        <w:rPr/>
      </w:pPr>
      <w:r>
        <w:rPr>
          <w:b/>
          <w:bCs/>
        </w:rPr>
        <w:t>Seat.</w:t>
      </w:r>
      <w:r>
        <w:rPr/>
        <w:t xml:space="preserve"> When MAIP is below 575 psi and the differential (inlet − outlet) is below 250 psi, an 11/16” single or 1” single orifice takes Poly-Tan and </w:t>
      </w:r>
      <w:r>
        <w:rPr>
          <w:b/>
          <w:bCs/>
        </w:rPr>
        <w:t>every other orifice takes BUNA</w:t>
      </w:r>
      <w:r>
        <w:rPr/>
        <w:t>. Outside those pressure conditions, Poly-Tan.</w:t>
      </w:r>
    </w:p>
    <w:p>
      <w:pPr>
        <w:pStyle w:val="BodyText"/>
        <w:rPr>
          <w:b/>
          <w:bCs/>
        </w:rPr>
      </w:pPr>
      <w:r>
        <w:rPr>
          <w:b/>
          <w:bCs/>
        </w:rPr>
        <w:t>Spring and diaphragm.</w:t>
      </w:r>
    </w:p>
    <w:p>
      <w:pPr>
        <w:pStyle w:val="Compact"/>
        <w:numPr>
          <w:ilvl w:val="0"/>
          <w:numId w:val="98"/>
        </w:numPr>
        <w:rPr/>
      </w:pPr>
      <w:r>
        <w:rPr/>
        <w:t>461-57S and 441-57S: spring only. Yellow (3 – 6 psi), Gray (5 – 9 psi), Blue (7.5 – 15 psi), Red (12.5 – 30 psi), Brown (25 – 55 psi), Black (50 – 75 psi), Brown + White (70 – 100 psi). There is no spring above 100 psi.</w:t>
      </w:r>
    </w:p>
    <w:p>
      <w:pPr>
        <w:pStyle w:val="Compact"/>
        <w:numPr>
          <w:ilvl w:val="0"/>
          <w:numId w:val="99"/>
        </w:numPr>
        <w:rPr/>
      </w:pPr>
      <w:r>
        <w:rPr/>
        <w:t>461-X57 and 441-X57: spring only. Red (75 – 100 psi), Brown (100 – 175 psi), Black (150 – 250 psi).</w:t>
      </w:r>
    </w:p>
    <w:p>
      <w:pPr>
        <w:pStyle w:val="Compact"/>
        <w:numPr>
          <w:ilvl w:val="0"/>
          <w:numId w:val="100"/>
        </w:numPr>
        <w:rPr/>
      </w:pPr>
      <w:r>
        <w:rPr/>
        <w:t>461-S: diaphragm and spring together, from 12” cast iron with an Aluminum spring at 2” – 10” wc, through 12” aluminium (Red, Blue, Green, Orange), to 8” aluminium (Orange, Black, Cadmium, Cadmium + White) up to a 10 psi outlet.</w:t>
      </w:r>
    </w:p>
    <w:p>
      <w:pPr>
        <w:pStyle w:val="Compact"/>
        <w:numPr>
          <w:ilvl w:val="0"/>
          <w:numId w:val="101"/>
        </w:numPr>
        <w:rPr/>
      </w:pPr>
      <w:r>
        <w:rPr/>
        <w:t>441-S: diaphragm and spring together, 18” down to 10”, with Aluminum, Green, Yellow, Gray, Blue and Red springs across 4.25” wc to 6 psi.</w:t>
      </w:r>
    </w:p>
    <w:p>
      <w:pPr>
        <w:pStyle w:val="FirstParagraph"/>
        <w:rPr/>
      </w:pPr>
      <w:r>
        <w:rPr>
          <w:b/>
          <w:bCs/>
        </w:rPr>
        <w:t>Monitor setpoint.</w:t>
      </w:r>
      <w:r>
        <w:rPr/>
        <w:t xml:space="preserve"> Outlet + 0.5 below 1 psi; 2 psi at exactly 1 psi; outlet + 1.5 to 2 psi; + 2 to 3 psi; + 3 to 10 psi; + 4 to 50 psi; + 5 to 75 psi; + 15 to 100 psi; + 20 to 150 psi; + 25 to 225 psi; 250 psi above that. Capped at the IRV protect pressure if one was entered. The 57S and X57 monitor springs are chosen at this setpoint; the 441-S and 461-S monitor springs are chosen from the outlet pressure instead.</w:t>
      </w:r>
    </w:p>
    <w:p>
      <w:pPr>
        <w:pStyle w:val="BodyText"/>
        <w:rPr/>
      </w:pPr>
      <w:bookmarkStart w:id="21" w:name="model-441461"/>
      <w:r>
        <w:rPr/>
        <w:t>An IRV request reaching this family is treated as a monitor request, since the 441/461 has no IRV, and warns “Sized for worker/monitor setup”.</w:t>
      </w:r>
      <w:bookmarkEnd w:id="21"/>
    </w:p>
    <w:p>
      <w:pPr>
        <w:pStyle w:val="Heading2"/>
        <w:rPr/>
      </w:pPr>
      <w:bookmarkStart w:id="22" w:name="model-121122"/>
      <w:r>
        <w:rPr/>
        <w:t>8.6 Model 121/122</w:t>
      </w:r>
    </w:p>
    <w:p>
      <w:pPr>
        <w:pStyle w:val="Compact"/>
        <w:numPr>
          <w:ilvl w:val="0"/>
          <w:numId w:val="102"/>
        </w:numPr>
        <w:rPr/>
      </w:pPr>
      <w:r>
        <w:rPr>
          <w:b/>
          <w:bCs/>
        </w:rPr>
        <w:t>An IRV request is treated as a monitor request</w:t>
      </w:r>
      <w:r>
        <w:rPr/>
        <w:t xml:space="preserve"> — the 121/122 has no IRV — and warns “Sized for worker/monitor setup”.</w:t>
      </w:r>
    </w:p>
    <w:p>
      <w:pPr>
        <w:pStyle w:val="Compact"/>
        <w:numPr>
          <w:ilvl w:val="0"/>
          <w:numId w:val="103"/>
        </w:numPr>
        <w:rPr/>
      </w:pPr>
      <w:r>
        <w:rPr/>
        <w:t>Data sets: standard for an outlet of 3 psi or below, covering 121-8, 121-12, 121-16 and 122 bodies; high-pressure above 3 psi, covering 121-8HP bodies only.</w:t>
      </w:r>
    </w:p>
    <w:p>
      <w:pPr>
        <w:pStyle w:val="Compact"/>
        <w:numPr>
          <w:ilvl w:val="0"/>
          <w:numId w:val="104"/>
        </w:numPr>
        <w:rPr/>
      </w:pPr>
      <w:r>
        <w:rPr/>
        <w:t>122 bodies are considered only when the outlet is 2 psi or below without overpressure protection, or 1 psi or below with a monitor.</w:t>
      </w:r>
    </w:p>
    <w:p>
      <w:pPr>
        <w:pStyle w:val="Compact"/>
        <w:numPr>
          <w:ilvl w:val="0"/>
          <w:numId w:val="105"/>
        </w:numPr>
        <w:rPr/>
      </w:pPr>
      <w:r>
        <w:rPr/>
        <w:t>Standard body order: 3/4”-or-1”, 1”, 1-1/4”, 1-1/2”, 2”, 2-1/2”, 3”, with the pipe size moved to the front when specified. High-pressure data has bodies at 3/4”-or-1”, 1-1/4”, 1-1/2”, 2” and 2-1/2”.</w:t>
      </w:r>
    </w:p>
    <w:p>
      <w:pPr>
        <w:pStyle w:val="Compact"/>
        <w:numPr>
          <w:ilvl w:val="0"/>
          <w:numId w:val="106"/>
        </w:numPr>
        <w:rPr/>
      </w:pPr>
      <w:r>
        <w:rPr/>
        <w:t>V-Port is limited to the 1-1/2”, 2” and 2-1/2” bodies of the 121-8 and 121-12 (and the same three sizes on high-pressure data). The 121-16 has no V-Port variant.</w:t>
      </w:r>
    </w:p>
    <w:p>
      <w:pPr>
        <w:pStyle w:val="Compact"/>
        <w:numPr>
          <w:ilvl w:val="0"/>
          <w:numId w:val="107"/>
        </w:numPr>
        <w:rPr/>
      </w:pPr>
      <w:r>
        <w:rPr/>
        <w:t>A body works only if both conditions hold: capacity ≥ max flow × oversize factor, and capacity ÷ 20 ≤ min flow for standard valves (÷ 40 for V-Port). The second condition is the turndown check — it stops the tool selecting a regulator that would lock up at the minimum flow.</w:t>
      </w:r>
    </w:p>
    <w:p>
      <w:pPr>
        <w:pStyle w:val="Compact"/>
        <w:numPr>
          <w:ilvl w:val="0"/>
          <w:numId w:val="108"/>
        </w:numPr>
        <w:rPr/>
      </w:pPr>
      <w:r>
        <w:rPr/>
        <w:t>Standard valves are tried first. Only if no standard body passes are V-Port valves tried, at 80% of standard capacity.</w:t>
      </w:r>
    </w:p>
    <w:p>
      <w:pPr>
        <w:pStyle w:val="Compact"/>
        <w:numPr>
          <w:ilvl w:val="0"/>
          <w:numId w:val="109"/>
        </w:numPr>
        <w:rPr/>
      </w:pPr>
      <w:r>
        <w:rPr/>
        <w:t>Monitor setpoint: 0.5 psi below a 1 psi outlet; 2 psi at exactly 1 psi; outlet + 1.5 up to 3 psi; outlet + 2 up to 8 psi; 10 psi above that. Capped at the IRV protect pressure if one was entered. A monitor candidate is only accepted if a monitor spring exists at that setpoint.</w:t>
      </w:r>
    </w:p>
    <w:p>
      <w:pPr>
        <w:pStyle w:val="Compact"/>
        <w:numPr>
          <w:ilvl w:val="0"/>
          <w:numId w:val="110"/>
        </w:numPr>
        <w:rPr/>
      </w:pPr>
      <w:r>
        <w:rPr/>
        <w:t>Spring selection is body-specific and covers both inches-water-column and psi ranges; each body has its own colour mapping against outlet pressure.</w:t>
      </w:r>
    </w:p>
    <w:p>
      <w:pPr>
        <w:pStyle w:val="Compact"/>
        <w:numPr>
          <w:ilvl w:val="0"/>
          <w:numId w:val="111"/>
        </w:numPr>
        <w:rPr/>
      </w:pPr>
      <w:bookmarkStart w:id="23" w:name="model-specific-sizing-logic"/>
      <w:bookmarkStart w:id="24" w:name="model-121122"/>
      <w:r>
        <w:rPr/>
        <w:t>When a 121-8, 121-12, 121-16 or 121-8-HP is selected the tool also reports the minimum recommended outlet pipe size for that body at the given inlet pressure. This is informational and does not constrain sizing.</w:t>
      </w:r>
      <w:bookmarkEnd w:id="23"/>
      <w:bookmarkEnd w:id="24"/>
    </w:p>
    <w:p>
      <w:pPr>
        <w:pStyle w:val="Heading1"/>
        <w:rPr/>
      </w:pPr>
      <w:bookmarkStart w:id="25" w:name="selection-priority"/>
      <w:r>
        <w:rPr/>
        <w:t>9. Selection Priority</w:t>
      </w:r>
    </w:p>
    <w:p>
      <w:pPr>
        <w:pStyle w:val="FirstParagraph"/>
        <w:rPr/>
      </w:pPr>
      <w:r>
        <w:rPr/>
        <w:t>All six families are sized first, then exactly one result is chosen:</w:t>
      </w:r>
    </w:p>
    <w:p>
      <w:pPr>
        <w:pStyle w:val="Compact"/>
        <w:numPr>
          <w:ilvl w:val="0"/>
          <w:numId w:val="112"/>
        </w:numPr>
        <w:rPr/>
      </w:pPr>
      <w:r>
        <w:rPr>
          <w:b/>
          <w:bCs/>
        </w:rPr>
        <w:t>Model 143</w:t>
      </w:r>
      <w:r>
        <w:rPr/>
        <w:t>, if it can be applied.</w:t>
      </w:r>
    </w:p>
    <w:p>
      <w:pPr>
        <w:pStyle w:val="Compact"/>
        <w:numPr>
          <w:ilvl w:val="0"/>
          <w:numId w:val="113"/>
        </w:numPr>
        <w:rPr/>
      </w:pPr>
      <w:r>
        <w:rPr/>
        <w:t xml:space="preserve">Otherwise </w:t>
      </w:r>
      <w:r>
        <w:rPr>
          <w:b/>
          <w:bCs/>
        </w:rPr>
        <w:t>Model 496</w:t>
      </w:r>
      <w:r>
        <w:rPr/>
        <w:t>.</w:t>
      </w:r>
    </w:p>
    <w:p>
      <w:pPr>
        <w:pStyle w:val="Compact"/>
        <w:numPr>
          <w:ilvl w:val="0"/>
          <w:numId w:val="114"/>
        </w:numPr>
        <w:rPr/>
      </w:pPr>
      <w:r>
        <w:rPr/>
        <w:t xml:space="preserve">Otherwise, if </w:t>
      </w:r>
      <w:r>
        <w:rPr>
          <w:b/>
          <w:bCs/>
        </w:rPr>
        <w:t>both 243 and 046</w:t>
      </w:r>
      <w:r>
        <w:rPr/>
        <w:t xml:space="preserve"> can be applied: the 046 is chosen only when the request was for IRV </w:t>
      </w:r>
      <w:r>
        <w:rPr>
          <w:i/>
          <w:iCs/>
        </w:rPr>
        <w:t>and</w:t>
      </w:r>
      <w:r>
        <w:rPr/>
        <w:t xml:space="preserve"> the 046 match came out as an 046-2 IRV body. In every other case the 243 wins.</w:t>
      </w:r>
    </w:p>
    <w:p>
      <w:pPr>
        <w:pStyle w:val="Compact"/>
        <w:numPr>
          <w:ilvl w:val="0"/>
          <w:numId w:val="115"/>
        </w:numPr>
        <w:rPr/>
      </w:pPr>
      <w:r>
        <w:rPr/>
        <w:t xml:space="preserve">Otherwise whichever of </w:t>
      </w:r>
      <w:r>
        <w:rPr>
          <w:b/>
          <w:bCs/>
        </w:rPr>
        <w:t>243</w:t>
      </w:r>
      <w:r>
        <w:rPr/>
        <w:t xml:space="preserve"> or </w:t>
      </w:r>
      <w:r>
        <w:rPr>
          <w:b/>
          <w:bCs/>
        </w:rPr>
        <w:t>046</w:t>
      </w:r>
      <w:r>
        <w:rPr/>
        <w:t xml:space="preserve"> can be applied.</w:t>
      </w:r>
    </w:p>
    <w:p>
      <w:pPr>
        <w:pStyle w:val="Compact"/>
        <w:numPr>
          <w:ilvl w:val="0"/>
          <w:numId w:val="116"/>
        </w:numPr>
        <w:rPr/>
      </w:pPr>
      <w:r>
        <w:rPr/>
        <w:t xml:space="preserve">Otherwise, if </w:t>
      </w:r>
      <w:r>
        <w:rPr>
          <w:b/>
          <w:bCs/>
        </w:rPr>
        <w:t>both 121/122 and 441/461</w:t>
      </w:r>
      <w:r>
        <w:rPr/>
        <w:t xml:space="preserve"> can be applied: 121/122 when the combustion regulator is preferred, 441/461 when it is not.</w:t>
      </w:r>
    </w:p>
    <w:p>
      <w:pPr>
        <w:pStyle w:val="Compact"/>
        <w:numPr>
          <w:ilvl w:val="0"/>
          <w:numId w:val="117"/>
        </w:numPr>
        <w:rPr/>
      </w:pPr>
      <w:r>
        <w:rPr/>
        <w:t xml:space="preserve">Otherwise whichever of </w:t>
      </w:r>
      <w:r>
        <w:rPr>
          <w:b/>
          <w:bCs/>
        </w:rPr>
        <w:t>441/461</w:t>
      </w:r>
      <w:r>
        <w:rPr/>
        <w:t xml:space="preserve"> or </w:t>
      </w:r>
      <w:r>
        <w:rPr>
          <w:b/>
          <w:bCs/>
        </w:rPr>
        <w:t>121/122</w:t>
      </w:r>
      <w:r>
        <w:rPr/>
        <w:t xml:space="preserve"> can be applied.</w:t>
      </w:r>
    </w:p>
    <w:p>
      <w:pPr>
        <w:pStyle w:val="Compact"/>
        <w:numPr>
          <w:ilvl w:val="0"/>
          <w:numId w:val="118"/>
        </w:numPr>
        <w:rPr/>
      </w:pPr>
      <w:r>
        <w:rPr/>
        <w:t>If none apply, the tool reports “No USG regulators will work for this application.”</w:t>
      </w:r>
    </w:p>
    <w:p>
      <w:pPr>
        <w:pStyle w:val="FirstParagraph"/>
        <w:rPr/>
      </w:pPr>
      <w:bookmarkStart w:id="26" w:name="selection-priority"/>
      <w:r>
        <w:rPr/>
        <w:t>Note that 143 outranks 496, and that a monitor request routes the 143 and 496 through their IRV paths (Sections 8.1 and 8.2), which is often what removes them from contention at higher outlet pressures.</w:t>
      </w:r>
      <w:bookmarkEnd w:id="26"/>
    </w:p>
    <w:p>
      <w:pPr>
        <w:pStyle w:val="Heading1"/>
        <w:rPr/>
      </w:pPr>
      <w:bookmarkStart w:id="27" w:name="sizing-adjustments-summary"/>
      <w:r>
        <w:rPr/>
        <w:t>10. Sizing Adjustments Summary</w:t>
      </w:r>
    </w:p>
    <w:tbl>
      <w:tblPr>
        <w:tblW w:w="5000" w:type="pct"/>
        <w:jc w:val="start"/>
        <w:tblInd w:w="0" w:type="dxa"/>
        <w:tblLayout w:type="fixed"/>
        <w:tblCellMar>
          <w:top w:w="0" w:type="dxa"/>
          <w:start w:w="108" w:type="dxa"/>
          <w:bottom w:w="0" w:type="dxa"/>
          <w:end w:w="108" w:type="dxa"/>
        </w:tblCellMar>
      </w:tblPr>
      <w:tblGrid>
        <w:gridCol w:w="4680"/>
        <w:gridCol w:w="4680"/>
      </w:tblGrid>
      <w:tr>
        <w:trPr>
          <w:tblHeader w:val="true"/>
        </w:trPr>
        <w:tc>
          <w:tcPr>
            <w:tcW w:w="4680" w:type="dxa"/>
            <w:tcBorders>
              <w:bottom w:val="single" w:sz="6" w:space="0" w:color="000000"/>
            </w:tcBorders>
            <w:vAlign w:val="bottom"/>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Adjustment</w:t>
            </w:r>
          </w:p>
        </w:tc>
        <w:tc>
          <w:tcPr>
            <w:tcW w:w="4680" w:type="dxa"/>
            <w:tcBorders>
              <w:bottom w:val="single" w:sz="6" w:space="0" w:color="000000"/>
            </w:tcBorders>
            <w:vAlign w:val="bottom"/>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Effect</w:t>
            </w:r>
          </w:p>
        </w:tc>
      </w:tr>
      <w:tr>
        <w:trPr/>
        <w:tc>
          <w:tcPr>
            <w:tcW w:w="4680" w:type="dxa"/>
            <w:tcBorders/>
          </w:tcPr>
          <w:p>
            <w:pPr>
              <w:pStyle w:val="Compact"/>
              <w:widowControl/>
              <w:spacing w:before="36" w:after="36"/>
              <w:jc w:val="start"/>
              <w:rPr>
                <w:rFonts w:ascii="Cambria" w:hAnsi="Cambria" w:eastAsia="Cambria"/>
                <w:b/>
                <w:bCs/>
                <w:kern w:val="0"/>
                <w:sz w:val="24"/>
                <w:szCs w:val="24"/>
                <w:lang w:val="en-US" w:eastAsia="en-US" w:bidi="ar-SA"/>
              </w:rPr>
            </w:pPr>
            <w:r>
              <w:rPr>
                <w:rFonts w:eastAsia="Cambria"/>
                <w:b/>
                <w:bCs/>
                <w:kern w:val="0"/>
                <w:sz w:val="24"/>
                <w:szCs w:val="24"/>
                <w:lang w:val="en-US" w:eastAsia="en-US" w:bidi="ar-SA"/>
              </w:rPr>
              <w:t>Oversize factor</w:t>
            </w:r>
          </w:p>
        </w:tc>
        <w:tc>
          <w:tcPr>
            <w:tcW w:w="468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Every capacity must be at least 25% above the max flow rate, more when a high-efficiency percentage is entered, or exactly the entered figure when the override is used. Applies to all families.</w:t>
            </w:r>
          </w:p>
        </w:tc>
      </w:tr>
      <w:tr>
        <w:trPr/>
        <w:tc>
          <w:tcPr>
            <w:tcW w:w="4680" w:type="dxa"/>
            <w:tcBorders/>
          </w:tcPr>
          <w:p>
            <w:pPr>
              <w:pStyle w:val="Compact"/>
              <w:widowControl/>
              <w:spacing w:before="36" w:after="36"/>
              <w:jc w:val="start"/>
              <w:rPr>
                <w:rFonts w:ascii="Cambria" w:hAnsi="Cambria" w:eastAsia="Cambria"/>
                <w:b/>
                <w:bCs/>
                <w:kern w:val="0"/>
                <w:sz w:val="24"/>
                <w:szCs w:val="24"/>
                <w:lang w:val="en-US" w:eastAsia="en-US" w:bidi="ar-SA"/>
              </w:rPr>
            </w:pPr>
            <w:r>
              <w:rPr>
                <w:rFonts w:eastAsia="Cambria"/>
                <w:b/>
                <w:bCs/>
                <w:kern w:val="0"/>
                <w:sz w:val="24"/>
                <w:szCs w:val="24"/>
                <w:lang w:val="en-US" w:eastAsia="en-US" w:bidi="ar-SA"/>
              </w:rPr>
              <w:t>Monitor regulator − 30% reduction</w:t>
            </w:r>
          </w:p>
        </w:tc>
        <w:tc>
          <w:tcPr>
            <w:tcW w:w="468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Interpolated capacities, and formula capacities for the 441/461, are multiplied by 0.70 before comparison against the flow requirement.</w:t>
            </w:r>
          </w:p>
        </w:tc>
      </w:tr>
      <w:tr>
        <w:trPr/>
        <w:tc>
          <w:tcPr>
            <w:tcW w:w="4680" w:type="dxa"/>
            <w:tcBorders/>
          </w:tcPr>
          <w:p>
            <w:pPr>
              <w:pStyle w:val="Compact"/>
              <w:widowControl/>
              <w:spacing w:before="36" w:after="36"/>
              <w:jc w:val="start"/>
              <w:rPr>
                <w:rFonts w:ascii="Cambria" w:hAnsi="Cambria" w:eastAsia="Cambria"/>
                <w:b/>
                <w:bCs/>
                <w:kern w:val="0"/>
                <w:sz w:val="24"/>
                <w:szCs w:val="24"/>
                <w:lang w:val="en-US" w:eastAsia="en-US" w:bidi="ar-SA"/>
              </w:rPr>
            </w:pPr>
            <w:r>
              <w:rPr>
                <w:rFonts w:eastAsia="Cambria"/>
                <w:b/>
                <w:bCs/>
                <w:kern w:val="0"/>
                <w:sz w:val="24"/>
                <w:szCs w:val="24"/>
                <w:lang w:val="en-US" w:eastAsia="en-US" w:bidi="ar-SA"/>
              </w:rPr>
              <w:t>V-Port valves − 20% reduction (121/122)</w:t>
            </w:r>
          </w:p>
        </w:tc>
        <w:tc>
          <w:tcPr>
            <w:tcW w:w="468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V-Port capacity is 80% of the standard capacity for the same body and pressures. For the 441/461, V-Port capacity comes from lower K values rather than a multiplier.</w:t>
            </w:r>
          </w:p>
        </w:tc>
      </w:tr>
      <w:tr>
        <w:trPr/>
        <w:tc>
          <w:tcPr>
            <w:tcW w:w="4680" w:type="dxa"/>
            <w:tcBorders/>
          </w:tcPr>
          <w:p>
            <w:pPr>
              <w:pStyle w:val="Compact"/>
              <w:widowControl/>
              <w:spacing w:before="36" w:after="36"/>
              <w:jc w:val="start"/>
              <w:rPr>
                <w:rFonts w:ascii="Cambria" w:hAnsi="Cambria" w:eastAsia="Cambria"/>
                <w:b/>
                <w:bCs/>
                <w:kern w:val="0"/>
                <w:sz w:val="24"/>
                <w:szCs w:val="24"/>
                <w:lang w:val="en-US" w:eastAsia="en-US" w:bidi="ar-SA"/>
              </w:rPr>
            </w:pPr>
            <w:r>
              <w:rPr>
                <w:rFonts w:eastAsia="Cambria"/>
                <w:b/>
                <w:bCs/>
                <w:kern w:val="0"/>
                <w:sz w:val="24"/>
                <w:szCs w:val="24"/>
                <w:lang w:val="en-US" w:eastAsia="en-US" w:bidi="ar-SA"/>
              </w:rPr>
              <w:t>Gas type multiplier − Propane</w:t>
            </w:r>
          </w:p>
        </w:tc>
        <w:tc>
          <w:tcPr>
            <w:tcW w:w="468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Capacities are multiplied by 0.63.</w:t>
            </w:r>
          </w:p>
        </w:tc>
      </w:tr>
      <w:tr>
        <w:trPr/>
        <w:tc>
          <w:tcPr>
            <w:tcW w:w="4680" w:type="dxa"/>
            <w:tcBorders/>
          </w:tcPr>
          <w:p>
            <w:pPr>
              <w:pStyle w:val="Compact"/>
              <w:widowControl/>
              <w:spacing w:before="36" w:after="36"/>
              <w:jc w:val="start"/>
              <w:rPr>
                <w:rFonts w:ascii="Cambria" w:hAnsi="Cambria" w:eastAsia="Cambria"/>
                <w:b/>
                <w:bCs/>
                <w:kern w:val="0"/>
                <w:sz w:val="24"/>
                <w:szCs w:val="24"/>
                <w:lang w:val="en-US" w:eastAsia="en-US" w:bidi="ar-SA"/>
              </w:rPr>
            </w:pPr>
            <w:r>
              <w:rPr>
                <w:rFonts w:eastAsia="Cambria"/>
                <w:b/>
                <w:bCs/>
                <w:kern w:val="0"/>
                <w:sz w:val="24"/>
                <w:szCs w:val="24"/>
                <w:lang w:val="en-US" w:eastAsia="en-US" w:bidi="ar-SA"/>
              </w:rPr>
              <w:t>Gas type multiplier − Other gas</w:t>
            </w:r>
          </w:p>
        </w:tc>
        <w:tc>
          <w:tcPr>
            <w:tcW w:w="468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Capacities are multiplied by sqrt(0.6 / specific gravity), capped at 1.0.</w:t>
            </w:r>
          </w:p>
        </w:tc>
      </w:tr>
      <w:tr>
        <w:trPr/>
        <w:tc>
          <w:tcPr>
            <w:tcW w:w="4680" w:type="dxa"/>
            <w:tcBorders/>
          </w:tcPr>
          <w:p>
            <w:pPr>
              <w:pStyle w:val="Compact"/>
              <w:widowControl/>
              <w:spacing w:before="36" w:after="36"/>
              <w:jc w:val="start"/>
              <w:rPr>
                <w:rFonts w:ascii="Cambria" w:hAnsi="Cambria" w:eastAsia="Cambria"/>
                <w:b/>
                <w:bCs/>
                <w:kern w:val="0"/>
                <w:sz w:val="24"/>
                <w:szCs w:val="24"/>
                <w:lang w:val="en-US" w:eastAsia="en-US" w:bidi="ar-SA"/>
              </w:rPr>
            </w:pPr>
            <w:r>
              <w:rPr>
                <w:rFonts w:eastAsia="Cambria"/>
                <w:b/>
                <w:bCs/>
                <w:kern w:val="0"/>
                <w:sz w:val="24"/>
                <w:szCs w:val="24"/>
                <w:lang w:val="en-US" w:eastAsia="en-US" w:bidi="ar-SA"/>
              </w:rPr>
              <w:t>Gas type multiplier − Natural gas</w:t>
            </w:r>
          </w:p>
        </w:tc>
        <w:tc>
          <w:tcPr>
            <w:tcW w:w="468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No adjustment (multiplier = 1.0).</w:t>
            </w:r>
          </w:p>
        </w:tc>
      </w:tr>
      <w:tr>
        <w:trPr/>
        <w:tc>
          <w:tcPr>
            <w:tcW w:w="4680" w:type="dxa"/>
            <w:tcBorders/>
          </w:tcPr>
          <w:p>
            <w:pPr>
              <w:pStyle w:val="Compact"/>
              <w:widowControl/>
              <w:spacing w:before="36" w:after="36"/>
              <w:jc w:val="start"/>
              <w:rPr>
                <w:rFonts w:ascii="Cambria" w:hAnsi="Cambria" w:eastAsia="Cambria"/>
                <w:b/>
                <w:bCs/>
                <w:kern w:val="0"/>
                <w:sz w:val="24"/>
                <w:szCs w:val="24"/>
                <w:lang w:val="en-US" w:eastAsia="en-US" w:bidi="ar-SA"/>
              </w:rPr>
            </w:pPr>
            <w:r>
              <w:rPr>
                <w:rFonts w:eastAsia="Cambria"/>
                <w:b/>
                <w:bCs/>
                <w:kern w:val="0"/>
                <w:sz w:val="24"/>
                <w:szCs w:val="24"/>
                <w:lang w:val="en-US" w:eastAsia="en-US" w:bidi="ar-SA"/>
              </w:rPr>
              <w:t>Altitude</w:t>
            </w:r>
          </w:p>
        </w:tc>
        <w:tc>
          <w:tcPr>
            <w:tcW w:w="468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Below 14.40 psi atmospheric, tabular capacities are multiplied by the altitude factor in Section 5.1 (only when it is below 1.0). Model 441/461 takes atmospheric pressure directly into its flow formula instead.</w:t>
            </w:r>
          </w:p>
        </w:tc>
      </w:tr>
    </w:tbl>
    <w:p>
      <w:pPr>
        <w:pStyle w:val="BodyText"/>
        <w:rPr/>
      </w:pPr>
      <w:bookmarkStart w:id="28" w:name="sizing-adjustments-summary"/>
      <w:r>
        <w:rPr/>
        <w:t>The customer-facing Sizing Adjustments list shows the oversize percentage always, plus the monitor reduction, the gas type factor and the elevation reduction when each applies.</w:t>
      </w:r>
      <w:bookmarkEnd w:id="28"/>
    </w:p>
    <w:p>
      <w:pPr>
        <w:pStyle w:val="Heading1"/>
        <w:rPr/>
      </w:pPr>
      <w:bookmarkStart w:id="29" w:name="output"/>
      <w:r>
        <w:rPr/>
        <w:t>11. Output</w:t>
      </w:r>
    </w:p>
    <w:p>
      <w:pPr>
        <w:pStyle w:val="FirstParagraph"/>
        <w:rPr/>
      </w:pPr>
      <w:r>
        <w:rPr/>
        <w:t>When a regulator is selected, the tool returns the fields below. Any field that does not apply to the selected family is omitted rather than shown empty.</w:t>
      </w:r>
    </w:p>
    <w:p>
      <w:pPr>
        <w:pStyle w:val="Compact"/>
        <w:numPr>
          <w:ilvl w:val="0"/>
          <w:numId w:val="119"/>
        </w:numPr>
        <w:rPr/>
      </w:pPr>
      <w:r>
        <w:rPr/>
        <w:t>Model name (for example 143-1, 496, 243-8-1, 046-2, 461-57S, 121-8)</w:t>
      </w:r>
    </w:p>
    <w:p>
      <w:pPr>
        <w:pStyle w:val="Compact"/>
        <w:numPr>
          <w:ilvl w:val="0"/>
          <w:numId w:val="120"/>
        </w:numPr>
        <w:rPr/>
      </w:pPr>
      <w:r>
        <w:rPr/>
        <w:t>Diaphragm size (441-S and 461-S only)</w:t>
      </w:r>
    </w:p>
    <w:p>
      <w:pPr>
        <w:pStyle w:val="Compact"/>
        <w:numPr>
          <w:ilvl w:val="0"/>
          <w:numId w:val="121"/>
        </w:numPr>
        <w:rPr/>
      </w:pPr>
      <w:r>
        <w:rPr/>
        <w:t>Body size, with the ANSI class for the 441/461</w:t>
      </w:r>
    </w:p>
    <w:p>
      <w:pPr>
        <w:pStyle w:val="Compact"/>
        <w:numPr>
          <w:ilvl w:val="0"/>
          <w:numId w:val="122"/>
        </w:numPr>
        <w:rPr/>
      </w:pPr>
      <w:r>
        <w:rPr/>
        <w:t>Orifice size (not shown for 121/122 standard valves; “V-Port” for 121/122 V-Port selections; suffixed ” VP” for 441/461 V-Port selections)</w:t>
      </w:r>
    </w:p>
    <w:p>
      <w:pPr>
        <w:pStyle w:val="Compact"/>
        <w:numPr>
          <w:ilvl w:val="0"/>
          <w:numId w:val="123"/>
        </w:numPr>
        <w:rPr/>
      </w:pPr>
      <w:r>
        <w:rPr/>
        <w:t>Seat material (046 and 441/461)</w:t>
      </w:r>
    </w:p>
    <w:p>
      <w:pPr>
        <w:pStyle w:val="Compact"/>
        <w:numPr>
          <w:ilvl w:val="0"/>
          <w:numId w:val="124"/>
        </w:numPr>
        <w:rPr/>
      </w:pPr>
      <w:r>
        <w:rPr/>
        <w:t>Spring colour and range, plus a monitor spring where a monitor was sized</w:t>
      </w:r>
    </w:p>
    <w:p>
      <w:pPr>
        <w:pStyle w:val="Compact"/>
        <w:numPr>
          <w:ilvl w:val="0"/>
          <w:numId w:val="125"/>
        </w:numPr>
        <w:rPr/>
      </w:pPr>
      <w:r>
        <w:rPr/>
        <w:t>Calculated capacity in CFH, rounded and thousands-separated</w:t>
      </w:r>
    </w:p>
    <w:p>
      <w:pPr>
        <w:pStyle w:val="Compact"/>
        <w:numPr>
          <w:ilvl w:val="0"/>
          <w:numId w:val="126"/>
        </w:numPr>
        <w:rPr/>
      </w:pPr>
      <w:r>
        <w:rPr/>
        <w:t>Holland part number for the worker regulator, and a second part number for the monitor regulator when one was sized</w:t>
      </w:r>
    </w:p>
    <w:p>
      <w:pPr>
        <w:pStyle w:val="Compact"/>
        <w:numPr>
          <w:ilvl w:val="0"/>
          <w:numId w:val="127"/>
        </w:numPr>
        <w:rPr/>
      </w:pPr>
      <w:r>
        <w:rPr/>
        <w:t>Control line kit and quantity, where the selected family has one. It appears on the page and in the Add to Cart request but deliberately not in the PDF summary.</w:t>
      </w:r>
    </w:p>
    <w:p>
      <w:pPr>
        <w:pStyle w:val="Compact"/>
        <w:numPr>
          <w:ilvl w:val="0"/>
          <w:numId w:val="128"/>
        </w:numPr>
        <w:rPr/>
      </w:pPr>
      <w:r>
        <w:rPr/>
        <w:t>For Model 121: a note giving the minimum required outlet pipe size</w:t>
      </w:r>
    </w:p>
    <w:p>
      <w:pPr>
        <w:pStyle w:val="Compact"/>
        <w:numPr>
          <w:ilvl w:val="0"/>
          <w:numId w:val="129"/>
        </w:numPr>
        <w:rPr/>
      </w:pPr>
      <w:r>
        <w:rPr/>
        <w:t>Any warnings raised during sizing, such as “Sized with IRV”, “IRV could not be sized” or “IRV curves did not work for your application, sized for worker/monitor setup”</w:t>
      </w:r>
    </w:p>
    <w:p>
      <w:pPr>
        <w:pStyle w:val="Compact"/>
        <w:numPr>
          <w:ilvl w:val="0"/>
          <w:numId w:val="130"/>
        </w:numPr>
        <w:rPr/>
      </w:pPr>
      <w:r>
        <w:rPr/>
        <w:t>An input summary, which is what the PDF’s Inputs table is built from</w:t>
      </w:r>
    </w:p>
    <w:p>
      <w:pPr>
        <w:pStyle w:val="FirstParagraph"/>
        <w:rPr/>
      </w:pPr>
      <w:bookmarkStart w:id="30" w:name="output"/>
      <w:r>
        <w:rPr/>
        <w:t>If no family can meet the requirements the tool reports “No USG regulators will work for this application.”</w:t>
      </w:r>
      <w:bookmarkEnd w:id="30"/>
    </w:p>
    <w:p>
      <w:pPr>
        <w:pStyle w:val="Heading1"/>
        <w:rPr/>
      </w:pPr>
      <w:bookmarkStart w:id="31" w:name="known-limits"/>
      <w:r>
        <w:rPr/>
        <w:t>12. Known Limits</w:t>
      </w:r>
    </w:p>
    <w:p>
      <w:pPr>
        <w:pStyle w:val="Compact"/>
        <w:numPr>
          <w:ilvl w:val="0"/>
          <w:numId w:val="131"/>
        </w:numPr>
        <w:rPr/>
      </w:pPr>
      <w:r>
        <w:rPr>
          <w:b/>
          <w:bCs/>
        </w:rPr>
        <w:t>Monitor sizing with an outlet between 85 and 100 psi</w:t>
      </w:r>
      <w:r>
        <w:rPr/>
        <w:t xml:space="preserve"> cannot be answered. The 441/461 monitor setpoint in that window is outlet + 15, which lands above 100 psi — past the top of the 57S spring table, which has no spring above 100 psi. The tool catches this and asks the customer to contact Holland Supply Company. Resolving it needs a product decision about what monitor spring a 57S should use above 100 psi.</w:t>
      </w:r>
    </w:p>
    <w:p>
      <w:pPr>
        <w:pStyle w:val="Compact"/>
        <w:numPr>
          <w:ilvl w:val="0"/>
          <w:numId w:val="132"/>
        </w:numPr>
        <w:rPr/>
      </w:pPr>
      <w:r>
        <w:rPr>
          <w:b/>
          <w:bCs/>
        </w:rPr>
        <w:t>IRV above a 125 psi outlet on the 046</w:t>
      </w:r>
      <w:r>
        <w:rPr/>
        <w:t xml:space="preserve"> is unavailable, because the IRV bodies have no capacity data there and the Gray spring has no IRV curve.</w:t>
      </w:r>
    </w:p>
    <w:p>
      <w:pPr>
        <w:pStyle w:val="Compact"/>
        <w:numPr>
          <w:ilvl w:val="0"/>
          <w:numId w:val="133"/>
        </w:numPr>
        <w:rPr/>
      </w:pPr>
      <w:r>
        <w:rPr>
          <w:b/>
          <w:bCs/>
        </w:rPr>
        <w:t>An outlet above 2 psi with an inlet below 10 psi</w:t>
      </w:r>
      <w:r>
        <w:rPr/>
        <w:t xml:space="preserve"> cannot be answered by Model 143, by design. In this tool the 143 drops out of contention and the next family takes the application, so the customer is shown a larger regulator with no warning to explain why; the standalone 143 tool reports the out-of-range message named below.</w:t>
      </w:r>
    </w:p>
    <w:p>
      <w:pPr>
        <w:pStyle w:val="Compact"/>
        <w:numPr>
          <w:ilvl w:val="0"/>
          <w:numId w:val="134"/>
        </w:numPr>
        <w:rPr/>
      </w:pPr>
      <w:r>
        <w:rPr>
          <w:b/>
          <w:bCs/>
        </w:rPr>
        <w:t>An outlet below 3.5” wc</w:t>
      </w:r>
      <w:r>
        <w:rPr/>
        <w:t xml:space="preserve"> leaves only the 441/461 in contention; every tabular family’s data stops at that pressure.</w:t>
      </w:r>
    </w:p>
    <w:p>
      <w:pPr>
        <w:pStyle w:val="Compact"/>
        <w:numPr>
          <w:ilvl w:val="0"/>
          <w:numId w:val="135"/>
        </w:numPr>
        <w:spacing w:before="36" w:after="36"/>
        <w:rPr/>
      </w:pPr>
      <w:r>
        <w:rPr>
          <w:b/>
          <w:bCs/>
        </w:rPr>
        <w:t>The out-of-range warning wording</w:t>
      </w:r>
      <w:r>
        <w:rPr/>
        <w:t xml:space="preserve"> names the inlet pressure even when it is the outlet pressure that falls outside a table.</w:t>
      </w:r>
      <w:bookmarkEnd w:id="31"/>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3">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4">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5">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6">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7">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8">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9">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10">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11">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12">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13">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14">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15">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16">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17">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18">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19">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20">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21">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22">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23">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DejaVu Sans"/>
        <w:sz w:val="24"/>
        <w:szCs w:val="24"/>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before="0" w:after="200"/>
      <w:jc w:val="start"/>
    </w:pPr>
    <w:rPr>
      <w:rFonts w:ascii="Cambria" w:hAnsi="Cambria" w:eastAsia="Cambria"/>
      <w:color w:val="auto"/>
      <w:kern w:val="0"/>
      <w:sz w:val="24"/>
      <w:szCs w:val="24"/>
      <w:lang w:val="en-US" w:eastAsia="en-US" w:bidi="ar-SA"/>
    </w:rPr>
  </w:style>
  <w:style w:type="paragraph" w:styleId="Heading1">
    <w:name w:val="Heading 1"/>
    <w:basedOn w:val="Normal"/>
    <w:next w:val="BodyText"/>
    <w:qFormat/>
    <w:pPr>
      <w:keepNext w:val="true"/>
      <w:keepLines/>
      <w:numPr>
        <w:ilvl w:val="0"/>
        <w:numId w:val="0"/>
      </w:numPr>
      <w:spacing w:before="480" w:after="0"/>
      <w:outlineLvl w:val="0"/>
    </w:pPr>
    <w:rPr>
      <w:rFonts w:ascii="Calibri" w:hAnsi="Calibri" w:eastAsia="Cambria" w:cs="DejaVu Sans"/>
      <w:b/>
      <w:bCs/>
      <w:color w:themeColor="accent1" w:val="4F81BD"/>
      <w:sz w:val="32"/>
      <w:szCs w:val="32"/>
    </w:rPr>
  </w:style>
  <w:style w:type="paragraph" w:styleId="Heading2">
    <w:name w:val="Heading 2"/>
    <w:basedOn w:val="Normal"/>
    <w:next w:val="BodyText"/>
    <w:qFormat/>
    <w:pPr>
      <w:keepNext w:val="true"/>
      <w:keepLines/>
      <w:numPr>
        <w:ilvl w:val="0"/>
        <w:numId w:val="0"/>
      </w:numPr>
      <w:spacing w:before="200" w:after="0"/>
      <w:outlineLvl w:val="1"/>
    </w:pPr>
    <w:rPr>
      <w:rFonts w:ascii="Calibri" w:hAnsi="Calibri" w:eastAsia="Cambria" w:cs="DejaVu Sans"/>
      <w:b/>
      <w:bCs/>
      <w:color w:themeColor="accent1" w:val="4F81BD"/>
      <w:sz w:val="28"/>
      <w:szCs w:val="28"/>
    </w:rPr>
  </w:style>
  <w:style w:type="paragraph" w:styleId="Heading3">
    <w:name w:val="Heading 3"/>
    <w:basedOn w:val="Normal"/>
    <w:next w:val="BodyText"/>
    <w:qFormat/>
    <w:pPr>
      <w:keepNext w:val="true"/>
      <w:keepLines/>
      <w:numPr>
        <w:ilvl w:val="0"/>
        <w:numId w:val="0"/>
      </w:numPr>
      <w:spacing w:before="200" w:after="0"/>
      <w:outlineLvl w:val="2"/>
    </w:pPr>
    <w:rPr>
      <w:rFonts w:ascii="Calibri" w:hAnsi="Calibri" w:eastAsia="Cambria" w:cs="DejaVu Sans"/>
      <w:b/>
      <w:bCs/>
      <w:color w:themeColor="accent1" w:val="4F81BD"/>
      <w:sz w:val="24"/>
      <w:szCs w:val="24"/>
    </w:rPr>
  </w:style>
  <w:style w:type="paragraph" w:styleId="Heading4">
    <w:name w:val="Heading 4"/>
    <w:basedOn w:val="Normal"/>
    <w:next w:val="BodyText"/>
    <w:qFormat/>
    <w:pPr>
      <w:keepNext w:val="true"/>
      <w:keepLines/>
      <w:numPr>
        <w:ilvl w:val="0"/>
        <w:numId w:val="0"/>
      </w:numPr>
      <w:spacing w:before="200" w:after="0"/>
      <w:outlineLvl w:val="3"/>
    </w:pPr>
    <w:rPr>
      <w:rFonts w:ascii="Calibri" w:hAnsi="Calibri" w:eastAsia="Cambria" w:cs="DejaVu Sans"/>
      <w:bCs/>
      <w:i/>
      <w:color w:themeColor="accent1" w:val="4F81BD"/>
      <w:sz w:val="24"/>
      <w:szCs w:val="24"/>
    </w:rPr>
  </w:style>
  <w:style w:type="paragraph" w:styleId="Heading5">
    <w:name w:val="Heading 5"/>
    <w:basedOn w:val="Normal"/>
    <w:next w:val="BodyText"/>
    <w:qFormat/>
    <w:pPr>
      <w:keepNext w:val="true"/>
      <w:keepLines/>
      <w:numPr>
        <w:ilvl w:val="0"/>
        <w:numId w:val="0"/>
      </w:numPr>
      <w:spacing w:before="200" w:after="0"/>
      <w:outlineLvl w:val="4"/>
    </w:pPr>
    <w:rPr>
      <w:rFonts w:ascii="Calibri" w:hAnsi="Calibri" w:eastAsia="Cambria" w:cs="DejaVu Sans"/>
      <w:iCs/>
      <w:color w:themeColor="accent1" w:val="4F81BD"/>
      <w:sz w:val="24"/>
      <w:szCs w:val="24"/>
    </w:rPr>
  </w:style>
  <w:style w:type="paragraph" w:styleId="Heading6">
    <w:name w:val="Heading 6"/>
    <w:basedOn w:val="Normal"/>
    <w:next w:val="BodyText"/>
    <w:qFormat/>
    <w:pPr>
      <w:keepNext w:val="true"/>
      <w:keepLines/>
      <w:numPr>
        <w:ilvl w:val="0"/>
        <w:numId w:val="0"/>
      </w:numPr>
      <w:spacing w:before="200" w:after="0"/>
      <w:outlineLvl w:val="5"/>
    </w:pPr>
    <w:rPr>
      <w:rFonts w:ascii="Calibri" w:hAnsi="Calibri" w:eastAsia="Cambria" w:cs="DejaVu Sans"/>
      <w:color w:themeColor="accent1" w:val="4F81BD"/>
      <w:sz w:val="24"/>
      <w:szCs w:val="24"/>
    </w:rPr>
  </w:style>
  <w:style w:type="paragraph" w:styleId="Heading7">
    <w:name w:val="Heading 7"/>
    <w:basedOn w:val="Normal"/>
    <w:next w:val="BodyText"/>
    <w:qFormat/>
    <w:pPr>
      <w:keepNext w:val="true"/>
      <w:keepLines/>
      <w:numPr>
        <w:ilvl w:val="0"/>
        <w:numId w:val="0"/>
      </w:numPr>
      <w:spacing w:before="200" w:after="0"/>
      <w:outlineLvl w:val="6"/>
    </w:pPr>
    <w:rPr>
      <w:rFonts w:ascii="Calibri" w:hAnsi="Calibri" w:eastAsia="Cambria" w:cs="DejaVu Sans"/>
      <w:color w:themeColor="accent1" w:val="4F81BD"/>
      <w:sz w:val="24"/>
      <w:szCs w:val="24"/>
    </w:rPr>
  </w:style>
  <w:style w:type="paragraph" w:styleId="Heading8">
    <w:name w:val="Heading 8"/>
    <w:basedOn w:val="Normal"/>
    <w:next w:val="BodyText"/>
    <w:qFormat/>
    <w:pPr>
      <w:keepNext w:val="true"/>
      <w:keepLines/>
      <w:numPr>
        <w:ilvl w:val="0"/>
        <w:numId w:val="0"/>
      </w:numPr>
      <w:spacing w:before="200" w:after="0"/>
      <w:outlineLvl w:val="7"/>
    </w:pPr>
    <w:rPr>
      <w:rFonts w:ascii="Calibri" w:hAnsi="Calibri" w:eastAsia="Cambria" w:cs="DejaVu Sans"/>
      <w:color w:themeColor="accent1" w:val="4F81BD"/>
      <w:sz w:val="24"/>
      <w:szCs w:val="24"/>
    </w:rPr>
  </w:style>
  <w:style w:type="paragraph" w:styleId="Heading9">
    <w:name w:val="Heading 9"/>
    <w:basedOn w:val="Normal"/>
    <w:next w:val="BodyText"/>
    <w:qFormat/>
    <w:pPr>
      <w:keepNext w:val="true"/>
      <w:keepLines/>
      <w:numPr>
        <w:ilvl w:val="0"/>
        <w:numId w:val="0"/>
      </w:numPr>
      <w:spacing w:before="200" w:after="0"/>
      <w:outlineLvl w:val="8"/>
    </w:pPr>
    <w:rPr>
      <w:rFonts w:ascii="Calibri" w:hAnsi="Calibri" w:eastAsia="Cambria" w:cs="DejaVu Sans"/>
      <w:color w:themeColor="accent1" w:val="4F81BD"/>
      <w:sz w:val="24"/>
      <w:szCs w:val="24"/>
    </w:rPr>
  </w:style>
  <w:style w:type="character" w:styleId="DefaultParagraphFont">
    <w:name w:val="Default Paragraph Font"/>
    <w:qFormat/>
    <w:rPr/>
  </w:style>
  <w:style w:type="character" w:styleId="BodyTextChar">
    <w:name w:val="Body Text Char"/>
    <w:basedOn w:val="DefaultParagraphFont"/>
    <w:qFormat/>
    <w:rPr/>
  </w:style>
  <w:style w:type="character" w:styleId="VerbatimChar">
    <w:name w:val="Verbatim Char"/>
    <w:basedOn w:val="BodyTextChar"/>
    <w:qFormat/>
    <w:rPr>
      <w:rFonts w:ascii="Consolas" w:hAnsi="Consolas"/>
      <w:sz w:val="22"/>
    </w:rPr>
  </w:style>
  <w:style w:type="character" w:styleId="SectionNumber">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name w:val="KeywordTok"/>
    <w:basedOn w:val="VerbatimChar"/>
    <w:qFormat/>
    <w:rPr>
      <w:b/>
      <w:color w:val="007020"/>
    </w:rPr>
  </w:style>
  <w:style w:type="character" w:styleId="DataTypeTok">
    <w:name w:val="DataTypeTok"/>
    <w:basedOn w:val="VerbatimChar"/>
    <w:qFormat/>
    <w:rPr>
      <w:color w:val="902000"/>
    </w:rPr>
  </w:style>
  <w:style w:type="character" w:styleId="DecValTok">
    <w:name w:val="DecValTok"/>
    <w:basedOn w:val="VerbatimChar"/>
    <w:qFormat/>
    <w:rPr>
      <w:color w:val="40A070"/>
    </w:rPr>
  </w:style>
  <w:style w:type="character" w:styleId="BaseNTok">
    <w:name w:val="BaseNTok"/>
    <w:basedOn w:val="VerbatimChar"/>
    <w:qFormat/>
    <w:rPr>
      <w:color w:val="40A070"/>
    </w:rPr>
  </w:style>
  <w:style w:type="character" w:styleId="FloatTok">
    <w:name w:val="FloatTok"/>
    <w:basedOn w:val="VerbatimChar"/>
    <w:qFormat/>
    <w:rPr>
      <w:color w:val="40A070"/>
    </w:rPr>
  </w:style>
  <w:style w:type="character" w:styleId="ConstantTok">
    <w:name w:val="ConstantTok"/>
    <w:basedOn w:val="VerbatimChar"/>
    <w:qFormat/>
    <w:rPr>
      <w:color w:val="880000"/>
    </w:rPr>
  </w:style>
  <w:style w:type="character" w:styleId="CharTok">
    <w:name w:val="CharTok"/>
    <w:basedOn w:val="VerbatimChar"/>
    <w:qFormat/>
    <w:rPr>
      <w:color w:val="4070A0"/>
    </w:rPr>
  </w:style>
  <w:style w:type="character" w:styleId="SpecialCharTok">
    <w:name w:val="SpecialCharTok"/>
    <w:basedOn w:val="VerbatimChar"/>
    <w:qFormat/>
    <w:rPr>
      <w:color w:val="4070A0"/>
    </w:rPr>
  </w:style>
  <w:style w:type="character" w:styleId="StringTok">
    <w:name w:val="StringTok"/>
    <w:basedOn w:val="VerbatimChar"/>
    <w:qFormat/>
    <w:rPr>
      <w:color w:val="4070A0"/>
    </w:rPr>
  </w:style>
  <w:style w:type="character" w:styleId="VerbatimStringTok">
    <w:name w:val="VerbatimStringTok"/>
    <w:basedOn w:val="VerbatimChar"/>
    <w:qFormat/>
    <w:rPr>
      <w:color w:val="4070A0"/>
    </w:rPr>
  </w:style>
  <w:style w:type="character" w:styleId="SpecialStringTok">
    <w:name w:val="SpecialStringTok"/>
    <w:basedOn w:val="VerbatimChar"/>
    <w:qFormat/>
    <w:rPr>
      <w:color w:val="BB6688"/>
    </w:rPr>
  </w:style>
  <w:style w:type="character" w:styleId="ImportTok">
    <w:name w:val="ImportTok"/>
    <w:basedOn w:val="VerbatimChar"/>
    <w:qFormat/>
    <w:rPr>
      <w:b/>
      <w:color w:val="008000"/>
    </w:rPr>
  </w:style>
  <w:style w:type="character" w:styleId="CommentTok">
    <w:name w:val="CommentTok"/>
    <w:basedOn w:val="VerbatimChar"/>
    <w:qFormat/>
    <w:rPr>
      <w:i/>
      <w:color w:val="60A0B0"/>
    </w:rPr>
  </w:style>
  <w:style w:type="character" w:styleId="DocumentationTok">
    <w:name w:val="DocumentationTok"/>
    <w:basedOn w:val="VerbatimChar"/>
    <w:qFormat/>
    <w:rPr>
      <w:i/>
      <w:color w:val="BA2121"/>
    </w:rPr>
  </w:style>
  <w:style w:type="character" w:styleId="AnnotationTok">
    <w:name w:val="AnnotationTok"/>
    <w:basedOn w:val="VerbatimChar"/>
    <w:qFormat/>
    <w:rPr>
      <w:b/>
      <w:i/>
      <w:color w:val="60A0B0"/>
    </w:rPr>
  </w:style>
  <w:style w:type="character" w:styleId="CommentVarTok">
    <w:name w:val="CommentVarTok"/>
    <w:basedOn w:val="VerbatimChar"/>
    <w:qFormat/>
    <w:rPr>
      <w:b/>
      <w:i/>
      <w:color w:val="60A0B0"/>
    </w:rPr>
  </w:style>
  <w:style w:type="character" w:styleId="OtherTok">
    <w:name w:val="OtherTok"/>
    <w:basedOn w:val="VerbatimChar"/>
    <w:qFormat/>
    <w:rPr>
      <w:color w:val="007020"/>
    </w:rPr>
  </w:style>
  <w:style w:type="character" w:styleId="FunctionTok">
    <w:name w:val="FunctionTok"/>
    <w:basedOn w:val="VerbatimChar"/>
    <w:qFormat/>
    <w:rPr>
      <w:color w:val="06287E"/>
    </w:rPr>
  </w:style>
  <w:style w:type="character" w:styleId="VariableTok">
    <w:name w:val="VariableTok"/>
    <w:basedOn w:val="VerbatimChar"/>
    <w:qFormat/>
    <w:rPr>
      <w:color w:val="19177C"/>
    </w:rPr>
  </w:style>
  <w:style w:type="character" w:styleId="ControlFlowTok">
    <w:name w:val="ControlFlowTok"/>
    <w:basedOn w:val="VerbatimChar"/>
    <w:qFormat/>
    <w:rPr>
      <w:b/>
      <w:color w:val="007020"/>
    </w:rPr>
  </w:style>
  <w:style w:type="character" w:styleId="OperatorTok">
    <w:name w:val="OperatorTok"/>
    <w:basedOn w:val="VerbatimChar"/>
    <w:qFormat/>
    <w:rPr>
      <w:color w:val="666666"/>
    </w:rPr>
  </w:style>
  <w:style w:type="character" w:styleId="BuiltInTok">
    <w:name w:val="BuiltInTok"/>
    <w:basedOn w:val="VerbatimChar"/>
    <w:qFormat/>
    <w:rPr>
      <w:color w:val="008000"/>
    </w:rPr>
  </w:style>
  <w:style w:type="character" w:styleId="ExtensionTok">
    <w:name w:val="ExtensionTok"/>
    <w:basedOn w:val="VerbatimChar"/>
    <w:qFormat/>
    <w:rPr/>
  </w:style>
  <w:style w:type="character" w:styleId="PreprocessorTok">
    <w:name w:val="PreprocessorTok"/>
    <w:basedOn w:val="VerbatimChar"/>
    <w:qFormat/>
    <w:rPr>
      <w:color w:val="BC7A00"/>
    </w:rPr>
  </w:style>
  <w:style w:type="character" w:styleId="AttributeTok">
    <w:name w:val="AttributeTok"/>
    <w:basedOn w:val="VerbatimChar"/>
    <w:qFormat/>
    <w:rPr>
      <w:color w:val="7D9029"/>
    </w:rPr>
  </w:style>
  <w:style w:type="character" w:styleId="RegionMarkerTok">
    <w:name w:val="RegionMarkerTok"/>
    <w:basedOn w:val="VerbatimChar"/>
    <w:qFormat/>
    <w:rPr/>
  </w:style>
  <w:style w:type="character" w:styleId="InformationTok">
    <w:name w:val="InformationTok"/>
    <w:basedOn w:val="VerbatimChar"/>
    <w:qFormat/>
    <w:rPr>
      <w:b/>
      <w:i/>
      <w:color w:val="60A0B0"/>
    </w:rPr>
  </w:style>
  <w:style w:type="character" w:styleId="WarningTok">
    <w:name w:val="WarningTok"/>
    <w:basedOn w:val="VerbatimChar"/>
    <w:qFormat/>
    <w:rPr>
      <w:b/>
      <w:i/>
      <w:color w:val="60A0B0"/>
    </w:rPr>
  </w:style>
  <w:style w:type="character" w:styleId="AlertTok">
    <w:name w:val="AlertTok"/>
    <w:basedOn w:val="VerbatimChar"/>
    <w:qFormat/>
    <w:rPr>
      <w:b/>
      <w:color w:val="FF0000"/>
    </w:rPr>
  </w:style>
  <w:style w:type="character" w:styleId="ErrorTok">
    <w:name w:val="ErrorTok"/>
    <w:basedOn w:val="VerbatimChar"/>
    <w:qFormat/>
    <w:rPr>
      <w:b/>
      <w:color w:val="FF0000"/>
    </w:rPr>
  </w:style>
  <w:style w:type="character" w:styleId="NormalTok">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name w:val="First Paragraph"/>
    <w:basedOn w:val="BodyText"/>
    <w:next w:val="BodyText"/>
    <w:qFormat/>
    <w:pPr/>
    <w:rPr/>
  </w:style>
  <w:style w:type="paragraph" w:styleId="Compact">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Cambria" w:cs="DejaVu Sans"/>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name w:val="Author"/>
    <w:next w:val="BodyText"/>
    <w:qFormat/>
    <w:pPr>
      <w:keepNext w:val="true"/>
      <w:keepLines/>
      <w:widowControl/>
      <w:kinsoku w:val="true"/>
      <w:overflowPunct w:val="true"/>
      <w:autoSpaceDE w:val="true"/>
      <w:bidi w:val="0"/>
      <w:spacing w:before="0" w:after="200"/>
      <w:jc w:val="center"/>
    </w:pPr>
    <w:rPr>
      <w:rFonts w:ascii="Cambria" w:hAnsi="Cambria" w:eastAsia="Cambria"/>
      <w:color w:val="auto"/>
      <w:kern w:val="0"/>
      <w:sz w:val="24"/>
      <w:szCs w:val="24"/>
      <w:lang w:val="en-US" w:eastAsia="en-US" w:bidi="ar-SA"/>
    </w:rPr>
  </w:style>
  <w:style w:type="paragraph" w:styleId="Date">
    <w:name w:val="Date"/>
    <w:next w:val="BodyText"/>
    <w:qFormat/>
    <w:pPr>
      <w:keepNext w:val="true"/>
      <w:keepLines/>
      <w:widowControl/>
      <w:kinsoku w:val="true"/>
      <w:overflowPunct w:val="true"/>
      <w:autoSpaceDE w:val="true"/>
      <w:bidi w:val="0"/>
      <w:spacing w:before="0" w:after="200"/>
      <w:jc w:val="center"/>
    </w:pPr>
    <w:rPr>
      <w:rFonts w:ascii="Cambria" w:hAnsi="Cambria" w:eastAsia="Cambria"/>
      <w:color w:val="auto"/>
      <w:kern w:val="0"/>
      <w:sz w:val="24"/>
      <w:szCs w:val="24"/>
      <w:lang w:val="en-US" w:eastAsia="en-US" w:bidi="ar-SA"/>
    </w:rPr>
  </w:style>
  <w:style w:type="paragraph" w:styleId="AbstractTitle">
    <w:name w:val="Abstract Title"/>
    <w:basedOn w:val="Normal"/>
    <w:next w:val="Abstract"/>
    <w:qFormat/>
    <w:pPr>
      <w:keepNext w:val="true"/>
      <w:keepLines/>
      <w:spacing w:before="300" w:after="0"/>
      <w:jc w:val="center"/>
    </w:pPr>
    <w:rPr>
      <w:b/>
      <w:color w:val="345A8A"/>
      <w:sz w:val="20"/>
      <w:szCs w:val="20"/>
    </w:rPr>
  </w:style>
  <w:style w:type="paragraph" w:styleId="Abstract">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qFormat/>
    <w:pPr>
      <w:spacing w:before="100" w:after="100"/>
      <w:ind w:hanging="0" w:start="480" w:end="480"/>
    </w:pPr>
    <w:rPr/>
  </w:style>
  <w:style w:type="paragraph" w:styleId="FootnoteText">
    <w:name w:val="Footnote Text"/>
    <w:basedOn w:val="Normal"/>
    <w:pPr/>
    <w:rPr/>
  </w:style>
  <w:style w:type="paragraph" w:styleId="DefinitionTerm">
    <w:name w:val="Definition Term"/>
    <w:basedOn w:val="Normal"/>
    <w:next w:val="Definition"/>
    <w:qFormat/>
    <w:pPr>
      <w:keepNext w:val="true"/>
      <w:keepLines/>
      <w:spacing w:before="0" w:after="0"/>
    </w:pPr>
    <w:rPr>
      <w:b/>
    </w:rPr>
  </w:style>
  <w:style w:type="paragraph" w:styleId="Definition">
    <w:name w:val="Definition"/>
    <w:basedOn w:val="Normal"/>
    <w:qFormat/>
    <w:pPr/>
    <w:rPr/>
  </w:style>
  <w:style w:type="paragraph" w:styleId="TableCaption">
    <w:name w:val="Table Caption"/>
    <w:basedOn w:val="Caption"/>
    <w:qFormat/>
    <w:pPr>
      <w:keepNext w:val="true"/>
    </w:pPr>
    <w:rPr/>
  </w:style>
  <w:style w:type="paragraph" w:styleId="ImageCaption">
    <w:name w:val="Image Caption"/>
    <w:basedOn w:val="Caption"/>
    <w:qFormat/>
    <w:pPr/>
    <w:rPr/>
  </w:style>
  <w:style w:type="paragraph" w:styleId="Figure">
    <w:name w:val="Figure"/>
    <w:basedOn w:val="Normal"/>
    <w:qFormat/>
    <w:pPr/>
    <w:rPr/>
  </w:style>
  <w:style w:type="paragraph" w:styleId="CaptionedFigure">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qFormat/>
    <w:pPr>
      <w:spacing w:lineRule="auto" w:line="259" w:before="240" w:after="0"/>
      <w:outlineLvl w:val="9"/>
    </w:pPr>
    <w:rPr>
      <w:rFonts w:ascii="Calibri" w:hAnsi="Calibri" w:eastAsia="Cambria" w:cs="DejaVu Sans"/>
      <w:b w:val="false"/>
      <w:bCs w:val="false"/>
      <w:color w:themeColor="accent1" w:themeShade="bf" w:val="365F91"/>
    </w:rPr>
  </w:style>
  <w:style w:type="paragraph" w:styleId="SourceCode">
    <w:name w:val="Source Code"/>
    <w:basedOn w:val="Normal"/>
    <w:link w:val="VerbatimChar"/>
    <w:qFormat/>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11</Pages>
  <Words>5164</Words>
  <Characters>23710</Characters>
  <CharactersWithSpaces>28524</CharactersWithSpaces>
  <Paragraphs>282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2026-09-11T20:00:53Z</dcterms:created>
  <dc:creator>Algorithm &amp; Logic Summary</dc:creator>
  <dc:description/>
  <dc:language>en-US</dc:language>
  <cp:lastModifiedBy/>
  <dcterms:modified xsi:type="dcterms:W3CDTF">2026-09-11T20:00:53Z</dcterms:modified>
  <cp:revision>0</cp:revision>
  <dc:subject/>
  <dc:title>All Models Sizing Tool</dc:title>
</cp:coreProperties>
</file>

<file path=docProps/custom.xml><?xml version="1.0" encoding="utf-8"?>
<Properties xmlns="http://schemas.openxmlformats.org/officeDocument/2006/custom-properties" xmlns:vt="http://schemas.openxmlformats.org/officeDocument/2006/docPropsVTypes"/>
</file>