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tbl>
      <w:tblPr>
        <w:tblW w:w="9750" w:type="dxa"/>
        <w:tblCellSpacing w:w="0" w:type="dxa"/>
        <w:tblCellMar>
          <w:top w:w="0" w:type="dxa"/>
          <w:left w:w="0" w:type="dxa"/>
          <w:bottom w:w="0" w:type="dxa"/>
          <w:right w:w="0" w:type="dxa"/>
        </w:tblCellMar>
      </w:tblPr>
      <w:tblGrid>
        <w:gridCol w:w="1650"/>
        <w:gridCol w:w="8100"/>
      </w:tblGrid>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30"/>
                <w:szCs w:val="30"/>
              </w:rPr>
            </w:pPr>
            <w:r>
              <w:rPr>
                <w:rFonts w:ascii="Arial Unicode MS" w:eastAsia="Arial Unicode MS" w:hAnsi="Arial Unicode MS" w:cs="Arial Unicode MS"/>
                <w:b/>
                <w:bCs/>
                <w:i w:val="0"/>
                <w:iCs w:val="0"/>
                <w:smallCaps w:val="0"/>
                <w:color w:val="000000"/>
                <w:sz w:val="30"/>
                <w:szCs w:val="30"/>
              </w:rPr>
              <w:t>NARAYANAN</w:t>
            </w:r>
            <w:r>
              <w:rPr>
                <w:rFonts w:ascii="Arial Unicode MS" w:eastAsia="Arial Unicode MS" w:hAnsi="Arial Unicode MS" w:cs="Arial Unicode MS"/>
                <w:b/>
                <w:bCs/>
                <w:i w:val="0"/>
                <w:iCs w:val="0"/>
                <w:smallCaps w:val="0"/>
                <w:color w:val="000000"/>
                <w:sz w:val="30"/>
                <w:szCs w:val="30"/>
              </w:rPr>
              <w:t> </w:t>
            </w:r>
            <w:r>
              <w:rPr>
                <w:rFonts w:ascii="Arial Unicode MS" w:eastAsia="Arial Unicode MS" w:hAnsi="Arial Unicode MS" w:cs="Arial Unicode MS"/>
                <w:b/>
                <w:bCs/>
                <w:i w:val="0"/>
                <w:iCs w:val="0"/>
                <w:smallCaps w:val="0"/>
                <w:color w:val="000000"/>
                <w:sz w:val="30"/>
                <w:szCs w:val="30"/>
              </w:rPr>
              <w:t>POTTI</w:t>
            </w:r>
          </w:p>
        </w:tc>
      </w:tr>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p>
        </w:tc>
      </w:tr>
      <w:tr>
        <w:tblPrEx>
          <w:tblW w:w="9750" w:type="dxa"/>
          <w:tblCellSpacing w:w="0" w:type="dxa"/>
          <w:tblCellMar>
            <w:top w:w="0" w:type="dxa"/>
            <w:left w:w="0" w:type="dxa"/>
            <w:bottom w:w="0" w:type="dxa"/>
            <w:right w:w="0" w:type="dxa"/>
          </w:tblCellMar>
        </w:tblPrEx>
        <w:trPr>
          <w:trHeight w:val="300"/>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Phone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+17037316218</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Home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Email</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npotti@proton.me</w:t>
            </w:r>
          </w:p>
        </w:tc>
      </w:tr>
      <w:tr>
        <w:tblPrEx>
          <w:tblW w:w="9750" w:type="dxa"/>
          <w:tblCellSpacing w:w="0" w:type="dxa"/>
          <w:tblCellMar>
            <w:top w:w="0" w:type="dxa"/>
            <w:left w:w="0" w:type="dxa"/>
            <w:bottom w:w="0" w:type="dxa"/>
            <w:right w:w="0" w:type="dxa"/>
          </w:tblCellMar>
        </w:tblPrEx>
        <w:trPr>
          <w:trHeight w:val="750"/>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6267"/>
              <w:gridCol w:w="783"/>
            </w:tblGrid>
            <w:tr>
              <w:tblPrEx>
                <w:tblW w:w="5000" w:type="pct"/>
                <w:tblCellSpacing w:w="0" w:type="dxa"/>
                <w:tblCellMar>
                  <w:top w:w="0" w:type="dxa"/>
                  <w:left w:w="0" w:type="dxa"/>
                  <w:bottom w:w="0" w:type="dxa"/>
                  <w:right w:w="0" w:type="dxa"/>
                </w:tblCellMar>
                <w:tblLook w:val="05E0"/>
              </w:tblPrEx>
              <w:trPr>
                <w:trHeight w:val="15"/>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0" w:name="resume"/>
                </w:p>
              </w:tc>
              <w:tc>
                <w:tcPr>
                  <w:tcW w:w="7050" w:type="dxa"/>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shd w:val="clear" w:color="auto" w:fill="E5ECF3"/>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RESUME</w:t>
                  </w:r>
                </w:p>
              </w:tc>
              <w:tc>
                <w:tcPr>
                  <w:shd w:val="clear" w:color="auto" w:fill="E5ECF3"/>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c>
                <w:tcPr>
                  <w:shd w:val="clear" w:color="auto" w:fill="E5ECF3"/>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bookmarkEnd w:id="0"/>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105" w:type="dxa"/>
              <w:bottom w:w="0" w:type="dxa"/>
              <w:right w:w="0" w:type="dxa"/>
            </w:tcMar>
            <w:vAlign w:val="center"/>
            <w:hideMark/>
          </w:tcPr>
          <w:tbl>
            <w:tblPr>
              <w:tblW w:w="5000" w:type="pct"/>
              <w:tblCellSpacing w:w="0" w:type="dxa"/>
              <w:tblCellMar>
                <w:top w:w="0" w:type="dxa"/>
                <w:left w:w="0" w:type="dxa"/>
                <w:bottom w:w="0" w:type="dxa"/>
                <w:right w:w="0" w:type="dxa"/>
              </w:tblCellMar>
            </w:tblPr>
            <w:tblGrid>
              <w:gridCol w:w="6445"/>
              <w:gridCol w:w="3200"/>
            </w:tblGrid>
            <w:tr>
              <w:tblPrEx>
                <w:tblW w:w="5000" w:type="pct"/>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Headline: </w:t>
                  </w:r>
                  <w:r>
                    <w:rPr>
                      <w:rFonts w:ascii="Arial Unicode MS" w:eastAsia="Arial Unicode MS" w:hAnsi="Arial Unicode MS" w:cs="Arial Unicode MS"/>
                      <w:b w:val="0"/>
                      <w:bCs w:val="0"/>
                      <w:i w:val="0"/>
                      <w:iCs w:val="0"/>
                      <w:smallCaps w:val="0"/>
                      <w:color w:val="000000"/>
                    </w:rPr>
                    <w:t>StructuredProfile-fe747e7a-e533-421f-b31e-991ecbee9bab</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Value: </w:t>
                  </w:r>
                  <w:r>
                    <w:rPr>
                      <w:rFonts w:ascii="Arial Unicode MS" w:eastAsia="Arial Unicode MS" w:hAnsi="Arial Unicode MS" w:cs="Arial Unicode MS"/>
                      <w:b w:val="0"/>
                      <w:bCs w:val="0"/>
                      <w:i w:val="0"/>
                      <w:iCs w:val="0"/>
                      <w:smallCaps w:val="0"/>
                      <w:color w:val="000000"/>
                    </w:rPr>
                    <w:t>7jnybcwh9mm7aau8</w:t>
                  </w: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r>
        <w:tblPrEx>
          <w:tblW w:w="9750" w:type="dxa"/>
          <w:tblCellSpacing w:w="0" w:type="dxa"/>
          <w:tblCellMar>
            <w:top w:w="0" w:type="dxa"/>
            <w:left w:w="0" w:type="dxa"/>
            <w:bottom w:w="0" w:type="dxa"/>
            <w:right w:w="0" w:type="dxa"/>
          </w:tblCellMar>
        </w:tblPrEx>
        <w:trPr>
          <w:trHeight w:val="225"/>
          <w:tblCellSpacing w:w="0" w:type="dxa"/>
        </w:trPr>
        <w:tc>
          <w:tcPr>
            <w:tcBorders>
              <w:top w:val="single" w:sz="6" w:space="0" w:color="E5ECF3"/>
            </w:tcBorders>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EXPERIENCE: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10/2022 - Present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BASECAMP CS INTERNAL REVENUE SERVICE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DevSecOps Lead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Led a remote engineering team of 6 cloud architects on solution architecture with a strong focus on cloud security for mission critical, enterprise applications of Internal Revenue Service (IRS). Proven expertise in developing technical solutions to complex business problems and presenting to executives.* Solution architecture for 80+ enterprise applications to AWS GovCloud, Azure Government, Google Cloud Platform and integrating various SaaS offerings. Architected and created cloud design and requirements package for applications with focus on cloud security and identity and access management (IAM).* Created CICD pipelines for mission critical applications in CloudBees Jenkins and GitLab to build container images for AWS EKS and OCP and deploy to different test environments.* Developed solution architecture for Java and Python micro services in AWS EKS clusters.* Solid experience with giving presentations and articulating technical risks to executives and higher management.* Extensive, practical experience with architecting secure, high performance, high availability systems for mission critical applications.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7/2022 - 10/2022</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BASECAMP CS INTERNAL REVENUE SERVICE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DevSecOps Lead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Led a team of 4 IT infrastructure engineers and provided technical services for government agencies including IRS.* Lead role in automating application deployments of Redhat Openshift containers using Ansible.* Managed a team of 4 DevOps engineers to automate the deployment of DevOps infrastructure in AWS gov cloud.* Built and deployed Kubernetes container images for Java micro service applications in Redhat OpenShift.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4/2021 - 7/2022</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BASECAMP CS INTERNAL REVENUE SERVICE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DevSecOps Lead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Client: Health and Human Services digital communications division and IRS Robotic Process Automation.* Designed and architected DevSecOps environment in Azure Gov cloud for HHS DCD.* Led a team of 5 developers and automated the deployment of DevOps infrastructure in Azure gov cloud.* DevSecOps for robotic process automation (RPA) using Ui Path Orchestrator and Ui Path Robot on AWS Gov cloud.* Led a team of 4 Windows administrators and deployment engineers and automated the installation of Ui Path Orchestrator, Robot and Studio on Windows Server 2019.* Created branching and naming standards document for GitHub enterprise for automation projects for RPA.</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3/2018 - 4/2021</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BASECAMP CS INTERNAL REVENUE SERVICE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DevSecOps Lead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Managed the automation of application builds, security scanning and application deployments to JBOSS, Oracle WebLogic and IBM WebSphere using PowerShell scripts and Linux Bash scripts.* Created pipelines in CloudBees Jenkins for continuous integration (CI) and continuous delivery (CD) of enterprise applications.* Configured Rational AppScan source for automation to filter and triage false positives for security vulnerabilities.* Installed and configured Fortify static code analyzer (SCA) and software security center (SSC) for application vulnerability scanning. Worked with project security champions to filter and triage false positives in vulnerabilities in Rational Appscan source for automation.* Built Kubernetes container images and deployed for Java and Python micro service applications in Jenkins CICD pipelines.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5/2011 - 2/2018</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xml:space="preserve">IBM </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Lead SCM Engineer Configuration Management COE and DevOps Lead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Led a team of 6 engineers at IBM GBS federal practice, DevSecOps center of excellence (COE). Lead architect for public sector clients including USCIS, CMS, FDIC ITAS, Florida Safe Families Network (FSFN), Bureau of Census, State of Missouri, and GSA.Client: Center for Medicare &amp; Medicaid (CMS) Consumer Information &amp; Insurance Oversight (CIIO)* Coordinated builds and deployments to test environments for mission critical applications including JBoss, WebSphere, Sterling Order Management System, IBM Integration Bus (IIB), ETL, Cognos and Data warehouse.* Planned and deployed DevSecOps environment using IBM Rational applications and Jenkins project.* Hands-on experience with work item customization in Rational Team Concert (RTC) to support Agile teams.* Administration, branching, versioning, troubleshooting application builds in RTC.* Migrated Rational CLM application between two network domains and executed steps to rename CLM public URI.Client: FDIC ITAS.* Designed the branching and versioning of source code repositories in MS Team Foundation server (TFS).* Reduced application builds and deployment time by configuring TFS build agent for gated check-in and continuous integration of ASP, .NET, VB and java applications.* Improved application security by resolving the findings from security scan of application code using HP Fortify Source Analyzer.Client: Florida Safe Families Network (FSFN)* Planned, scheduled, and coordinated deployments of 8 application releases and configuration changes to test environments for system testing, UAT, pilot and training environments.* Administration and configuration of BEA WebLogic application server on Linux. Executed builds and deployments of web applications to system test environments.Client: Bureau of Census* Spearheaded the process improvement for branching, baseline creation and code merging for concurrent and parallel code development of multiple releases.* Eliminated 4 days' lead time required by ClearCase admin to create new branch for new release by reducing the process overhead using improved code branching strategy.* Significantly reduced the time required to synch code changes from maintenance stream to development stream.Client: U.S Citizenship and Immigration Service Electronic Immigration System (USCIS ELIS)* Installed and administered ClearCase, ClearCase Remote Client, ClearQuest, RequisitePro, CLM and Build Forge.* Created ClearCase UCM artifacts, ClearCase VOBs, streams and code baselines for multiple software releases.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EDUCATION:</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0/2025</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of California - Berkeley</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Master's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of California, Berkeley - MASTER OF INFORMATION AND CYBERSECURITY MAY, 2025</w:t>
            </w:r>
          </w:p>
        </w:tc>
      </w:tr>
      <w:tr>
        <w:tblPrEx>
          <w:tblW w:w="9750" w:type="dxa"/>
          <w:tblCellSpacing w:w="0" w:type="dxa"/>
          <w:tblCellMar>
            <w:top w:w="0" w:type="dxa"/>
            <w:left w:w="0" w:type="dxa"/>
            <w:bottom w:w="0" w:type="dxa"/>
            <w:right w:w="0" w:type="dxa"/>
          </w:tblCellMar>
        </w:tblPrEx>
        <w:trPr>
          <w:trHeight w:val="225"/>
          <w:tblCellSpacing w:w="0" w:type="dxa"/>
        </w:trPr>
        <w:tc>
          <w:tcPr>
            <w:gridSpan w:val="4"/>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0/2004</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of Kansas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Master's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of Kansas - MASTER OF SCIENCE WITH HONORS, ENGINEERING MANAGEMENT 2004</w:t>
            </w:r>
          </w:p>
        </w:tc>
      </w:tr>
      <w:tr>
        <w:tblPrEx>
          <w:tblW w:w="9750" w:type="dxa"/>
          <w:tblCellSpacing w:w="0" w:type="dxa"/>
          <w:tblCellMar>
            <w:top w:w="0" w:type="dxa"/>
            <w:left w:w="0" w:type="dxa"/>
            <w:bottom w:w="0" w:type="dxa"/>
            <w:right w:w="0" w:type="dxa"/>
          </w:tblCellMar>
        </w:tblPrEx>
        <w:trPr>
          <w:trHeight w:val="225"/>
          <w:tblCellSpacing w:w="0" w:type="dxa"/>
        </w:trPr>
        <w:tc>
          <w:tcPr>
            <w:gridSpan w:val="4"/>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0/1997</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Birla Institute of Technology AND Science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Master's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Birla Institute of Technology &amp; Science, Pilani, India - MASTER OF SCIENCE, SOFTWARE SYSTEMS 1997</w:t>
            </w:r>
          </w:p>
        </w:tc>
      </w:tr>
      <w:tr>
        <w:tblPrEx>
          <w:tblW w:w="9750" w:type="dxa"/>
          <w:tblCellSpacing w:w="0" w:type="dxa"/>
          <w:tblCellMar>
            <w:top w:w="0" w:type="dxa"/>
            <w:left w:w="0" w:type="dxa"/>
            <w:bottom w:w="0" w:type="dxa"/>
            <w:right w:w="0" w:type="dxa"/>
          </w:tblCellMar>
        </w:tblPrEx>
        <w:trPr>
          <w:trHeight w:val="225"/>
          <w:tblCellSpacing w:w="0" w:type="dxa"/>
        </w:trPr>
        <w:tc>
          <w:tcPr>
            <w:gridSpan w:val="4"/>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0/1991</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of Kerala</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Bachelor's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of Kerala, India - BACHELOR OF TECH WITH DISTINCTION - ELECTRONICS AND COMMUNICATION ENGINEERING 1991</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CERTIFICATION:</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ICAgile Certified Professional, ICP Certified Scrum Master Scrum Alliance</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AWS Cloud Associate Architect, Amazon Web Services ICAgile Certified Professional, ICP Certified Scr</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 (PMP), Project Management Institute</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Scrum Master</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Certificate of excellence</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CSC</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10"/>
        <w:gridCol w:w="2340"/>
        <w:gridCol w:w="4500"/>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SKILLS: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Name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Internet Security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Java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Jenkins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Enterprise Applications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Python Programming/Scripting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Amazon Web Services (AWS)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Windows Azure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 Computing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Engineering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High Availability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Identity Data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IRS (Internal Revenue Service)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Software as a Service (SaaS)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DevOps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Ansible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Information Technology &amp; Information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Red Hat Linux Operating System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Automation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GitHub</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Department of Health and Human 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Windows Operating System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Windows Server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Continuous Integration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JBoss Application Server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Linux Operating System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Protective 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Rational AppScan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Bash Scripting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Continuous Deployment/Delivery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WebSphere Application Server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Oracle WebLogic Server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Windows PowerShell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Computer Security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Vulnerability Scanners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.net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Agile Programming Methodologies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Applications Security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Rational ClearCase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Rational ClearQuest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Content Management Systems (CMS)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Cognos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Configuration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Warehousing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Extract Transform and Load (ETL)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Medicaid</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Medicare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Order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Process Improvement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Government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Source Code/Configuration Management (SCM)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System Test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Team Foundation Server (TFS)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Identify Issues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Acceptance Testing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Internet Application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Engineering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Communications Engineering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Electronics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 Programming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ScrumMaster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Debian Linux</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Federal Aviation Administration (FAA)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Groovy Programming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Product Family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Rational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JavaScript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Analysis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NMap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Operating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OSHA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Programming Languages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Project/Program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 (PMP)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REST (Representational State Transfer)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Scrum Project Management and Software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Unix Shell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Software Configuration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Ubuntu</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Wireshark (Ethereal)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Testing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 Architecture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Software Engineering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Presentation/Verbal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Enterprise Architecture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Technical Presentation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Remote Team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Java Platform Micro Edition (Java ME / J2ME)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Team Lead/Manager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User Interface/Experience (UI/UX)</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Java Deployment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Hewlett-Packard Product Family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United States Citizenship and Immigration Services (USCIS)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Insurance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Active Server Page (ASP)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Centers for Medicare and Medicaid Services (CMS)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Federal Deposit Insurance Corp (FDIC)</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Rational RequisitePro</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Time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Calendar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System Integration (SI)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Visual Basic for Applications (VBA)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ICP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Web Services Architecture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GCP (Good Clinical Practices)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Application Programming Interface (API)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computer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Architectural Design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Architectural 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Leadership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Distributed Computing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Relationship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Software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Software Design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Team Player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Organizational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Diversity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Communication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Atlassian JIRA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FISMA - Federal Information Security Management Act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Computer Networks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Cloud-Based Hosting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Network Design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Network Routing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Problem Solving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Root Cause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Web 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WSDL (Web Services Description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Web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United States Citizen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 National Institute of Standards and Technology (NIST)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SOAP (Simple Object Access Protocol)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Resource Utilization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Tuning/Optimization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Oracle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Network Protocols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MongoDB</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Information/Data Security (InfoSec)</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Failover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Administration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XML (EXtensible Markup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Technical/Engineering Design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Communications Protocols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Processing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4542"/>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LANGUAGES: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Languages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Proficiency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English</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Intermediate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rHeight w:val="300"/>
          <w:tblCellSpacing w:w="0" w:type="dxa"/>
        </w:trPr>
        <w:tc>
          <w:tcPr>
            <w:tcW w:w="5000" w:type="pct"/>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shd w:val="clear" w:color="auto" w:fill="E5ECF3"/>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7050"/>
            </w:tblGrid>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1" w:name="summary"/>
                  <w:r>
                    <w:rPr>
                      <w:rStyle w:val="boldText"/>
                      <w:rFonts w:ascii="Arial Unicode MS" w:eastAsia="Arial Unicode MS" w:hAnsi="Arial Unicode MS" w:cs="Arial Unicode MS"/>
                      <w:b w:val="0"/>
                      <w:bCs w:val="0"/>
                      <w:i w:val="0"/>
                      <w:iCs w:val="0"/>
                      <w:smallCaps w:val="0"/>
                      <w:color w:val="000000"/>
                    </w:rPr>
                    <w:t>Additional Info</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bookmarkEnd w:id="1"/>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xslSummaryTable"/>
              <w:tblW w:w="5000" w:type="pct"/>
              <w:jc w:val="center"/>
              <w:tblCellSpacing w:w="0" w:type="dxa"/>
              <w:tblCellMar>
                <w:top w:w="0" w:type="dxa"/>
                <w:left w:w="0" w:type="dxa"/>
                <w:bottom w:w="0" w:type="dxa"/>
                <w:right w:w="0" w:type="dxa"/>
              </w:tblCellMar>
              <w:tblLook w:val="05E0"/>
            </w:tblPr>
            <w:tblGrid>
              <w:gridCol w:w="2719"/>
              <w:gridCol w:w="7031"/>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Work Status:</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w:t>
                  </w:r>
                  <w:r>
                    <w:rPr>
                      <w:rFonts w:ascii="Arial Unicode MS" w:eastAsia="Arial Unicode MS" w:hAnsi="Arial Unicode MS" w:cs="Arial Unicode MS"/>
                      <w:b w:val="0"/>
                      <w:bCs w:val="0"/>
                      <w:i w:val="0"/>
                      <w:iCs w:val="0"/>
                      <w:smallCaps w:val="0"/>
                      <w:color w:val="000000"/>
                    </w:rPr>
                    <w:t xml:space="preserve"> - </w:t>
                  </w:r>
                  <w:r>
                    <w:rPr>
                      <w:rFonts w:ascii="Arial Unicode MS" w:eastAsia="Arial Unicode MS" w:hAnsi="Arial Unicode MS" w:cs="Arial Unicode MS"/>
                      <w:b w:val="0"/>
                      <w:bCs w:val="0"/>
                      <w:i w:val="0"/>
                      <w:iCs w:val="0"/>
                      <w:smallCaps w:val="0"/>
                      <w:color w:val="000000"/>
                    </w:rPr>
                    <w:t>I am authorized to work in this country for any employer.</w:t>
                  </w: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Active Security Clearance:</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None</w:t>
                  </w: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Style w:val="xslSummaryTable"/>
              <w:tblW w:w="5000" w:type="pct"/>
              <w:jc w:val="center"/>
              <w:tblCellSpacing w:w="0" w:type="dxa"/>
              <w:tblCellMar>
                <w:top w:w="0" w:type="dxa"/>
                <w:left w:w="0" w:type="dxa"/>
                <w:bottom w:w="0" w:type="dxa"/>
                <w:right w:w="0" w:type="dxa"/>
              </w:tblCellMar>
              <w:tblLook w:val="05E0"/>
            </w:tblPr>
            <w:tblGrid>
              <w:gridCol w:w="9750"/>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Pr>
                  <w:tblGrid>
                    <w:gridCol w:w="2695"/>
                    <w:gridCol w:w="4209"/>
                    <w:gridCol w:w="2846"/>
                  </w:tblGrid>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Target Locations:</w:t>
                        </w: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Selected Locations:</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US-VA-Northern</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Relocate:</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Willingness to travel:</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xml:space="preserve">No Travel Required </w:t>
                        </w:r>
                      </w:p>
                    </w:tc>
                  </w:tr>
                  <w:tr>
                    <w:tblPrEx>
                      <w:tblW w:w="5000" w:type="pct"/>
                      <w:tblCellSpacing w:w="0" w:type="dxa"/>
                      <w:tblCellMar>
                        <w:top w:w="30" w:type="dxa"/>
                        <w:left w:w="30" w:type="dxa"/>
                        <w:bottom w:w="30" w:type="dxa"/>
                        <w:right w:w="30" w:type="dxa"/>
                      </w:tblCellMar>
                    </w:tblPrEx>
                    <w:trPr>
                      <w:trHeight w:val="225"/>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rPr>
      </w:pP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val="0"/>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val="0"/>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val="0"/>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val="0"/>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val="0"/>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val="0"/>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boldText">
    <w:name w:val="boldText"/>
    <w:basedOn w:val="DefaultParagraphFont"/>
  </w:style>
  <w:style w:type="table" w:customStyle="1" w:styleId="sectionHeaderBackground">
    <w:name w:val="sectionHeaderBackground"/>
    <w:basedOn w:val="TableNormal"/>
    <w:tblPr/>
  </w:style>
  <w:style w:type="table" w:customStyle="1" w:styleId="xslSummaryTable">
    <w:name w:val="xslSummary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