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DFA82" w14:textId="77777777" w:rsidR="0054740D" w:rsidRPr="00A60CF3" w:rsidRDefault="0054740D" w:rsidP="006B11EB">
      <w:pPr>
        <w:spacing w:line="240" w:lineRule="auto"/>
        <w:jc w:val="center"/>
        <w:outlineLvl w:val="2"/>
        <w:rPr>
          <w:rFonts w:ascii="Verdana" w:eastAsia="Times New Roman" w:hAnsi="Verdana" w:cs="Calibri"/>
          <w:b/>
          <w:bCs/>
          <w:color w:val="073763"/>
          <w:lang w:eastAsia="en-AE"/>
        </w:rPr>
      </w:pPr>
      <w:r w:rsidRPr="00A60CF3">
        <w:rPr>
          <w:rFonts w:ascii="Verdana" w:eastAsia="Verdana" w:hAnsi="Verdana" w:cs="Calibri"/>
          <w:b/>
          <w:bCs/>
          <w:color w:val="073763"/>
          <w:lang w:eastAsia="en-AE"/>
        </w:rPr>
        <w:t>M</w:t>
      </w:r>
      <w:r w:rsidR="00FC3D7B" w:rsidRPr="00A60CF3">
        <w:rPr>
          <w:rFonts w:ascii="Verdana" w:eastAsia="Verdana" w:hAnsi="Verdana" w:cs="Calibri"/>
          <w:b/>
          <w:bCs/>
          <w:color w:val="073763"/>
          <w:lang w:eastAsia="en-AE"/>
        </w:rPr>
        <w:t>.</w:t>
      </w:r>
      <w:r w:rsidRPr="00A60CF3">
        <w:rPr>
          <w:rFonts w:ascii="Verdana" w:eastAsia="Verdana" w:hAnsi="Verdana" w:cs="Calibri"/>
          <w:b/>
          <w:bCs/>
          <w:color w:val="073763"/>
          <w:lang w:eastAsia="en-AE"/>
        </w:rPr>
        <w:t xml:space="preserve"> Sousa</w:t>
      </w:r>
    </w:p>
    <w:p w14:paraId="71202F3B" w14:textId="77777777" w:rsidR="00EA6D4D" w:rsidRPr="00FC3D7B" w:rsidRDefault="00EA6D4D" w:rsidP="006B11EB">
      <w:pPr>
        <w:spacing w:after="0"/>
        <w:ind w:right="-522"/>
        <w:jc w:val="center"/>
        <w:rPr>
          <w:rFonts w:ascii="Verdana" w:eastAsia="Times New Roman" w:hAnsi="Verdana" w:cs="Calibri"/>
          <w:lang w:eastAsia="en-AE"/>
        </w:rPr>
      </w:pPr>
      <w:r>
        <w:rPr>
          <w:rFonts w:ascii="Verdana" w:eastAsia="Verdana" w:hAnsi="Verdana"/>
          <w:sz w:val="21"/>
        </w:rPr>
        <w:t>sousamk@gmail.com  United States  719-650-3161</w:t>
      </w:r>
    </w:p>
    <w:p w14:paraId="7AC0DABF" w14:textId="77777777" w:rsidR="0054740D" w:rsidRPr="00FC3D7B" w:rsidRDefault="00E444B5" w:rsidP="006B11EB">
      <w:pPr>
        <w:spacing w:after="120"/>
        <w:ind w:right="-522"/>
        <w:jc w:val="center"/>
        <w:rPr>
          <w:rFonts w:ascii="Verdana" w:eastAsia="Times New Roman" w:hAnsi="Verdana" w:cs="Calibri"/>
        </w:rPr>
      </w:pPr>
      <w:r w:rsidRPr="00FC3D7B">
        <w:rPr>
          <w:rFonts w:ascii="Verdana" w:eastAsia="Verdana" w:hAnsi="Verdana" w:cs="Calibri"/>
          <w:sz w:val="21"/>
        </w:rPr>
        <w:t xml:space="preserve">LinkedIn:  </w:t>
      </w:r>
      <w:bookmarkStart w:id="0" w:name="_Hlk174023189"/>
      <w:r w:rsidR="00BD6B15" w:rsidRPr="00FC3D7B">
        <w:fldChar w:fldCharType="begin"/>
      </w:r>
      <w:r w:rsidR="00BD6B15" w:rsidRPr="00FC3D7B">
        <w:rPr>
          <w:rFonts w:ascii="Verdana" w:eastAsia="Verdana" w:hAnsi="Verdana" w:cs="Calibri"/>
          <w:color w:val="073763"/>
          <w:sz w:val="21"/>
        </w:rPr>
        <w:instrText>HYPERLINK "http://www.linkedin.com/in/marilyn-sousa-cisa-cism-cdpse"</w:instrText>
      </w:r>
      <w:r w:rsidR="00BD6B15" w:rsidRPr="00FC3D7B">
        <w:fldChar w:fldCharType="separate"/>
      </w:r>
      <w:r w:rsidRPr="00FC3D7B">
        <w:rPr>
          <w:rStyle w:val="Hyperlink"/>
          <w:rFonts w:ascii="Verdana" w:eastAsia="Verdana" w:hAnsi="Verdana" w:cs="Calibri"/>
          <w:color w:val="073763"/>
          <w:sz w:val="21"/>
        </w:rPr>
        <w:t>http://www.linkedin.com/in/marilyn-sousa-cisa-cism-cdpse</w:t>
      </w:r>
      <w:r w:rsidR="00BD6B15" w:rsidRPr="00FC3D7B">
        <w:rPr>
          <w:rStyle w:val="Hyperlink"/>
          <w:rFonts w:ascii="Verdana" w:eastAsia="Verdana" w:hAnsi="Verdana" w:cs="Calibri"/>
          <w:color w:val="073763"/>
          <w:sz w:val="21"/>
        </w:rPr>
        <w:fldChar w:fldCharType="end"/>
      </w:r>
      <w:bookmarkEnd w:id="0"/>
    </w:p>
    <w:p w14:paraId="5394DC61" w14:textId="77777777" w:rsidR="0054740D" w:rsidRPr="00FC3D7B" w:rsidRDefault="0054740D" w:rsidP="00BC10E9">
      <w:pPr>
        <w:spacing w:after="120" w:line="240" w:lineRule="auto"/>
        <w:rPr>
          <w:rFonts w:ascii="Verdana" w:eastAsia="Times New Roman" w:hAnsi="Verdana" w:cs="Calibri"/>
          <w:lang w:eastAsia="en-AE"/>
        </w:rPr>
      </w:pPr>
    </w:p>
    <w:p w14:paraId="10D74CFC" w14:textId="77777777" w:rsidR="00EA6D4D" w:rsidRPr="00A60CF3" w:rsidRDefault="000B27B8" w:rsidP="00442871">
      <w:pPr>
        <w:spacing w:after="120"/>
        <w:rPr>
          <w:rFonts w:ascii="Verdana" w:eastAsia="Calibri" w:hAnsi="Verdana" w:cs="Calibri"/>
          <w:b/>
          <w:color w:val="073763"/>
        </w:rPr>
      </w:pPr>
      <w:bookmarkStart w:id="1" w:name="_Hlk173490432"/>
      <w:r w:rsidRPr="00A60CF3">
        <w:rPr>
          <w:rFonts w:ascii="Verdana" w:eastAsia="Verdana" w:hAnsi="Verdana" w:cs="Calibri"/>
          <w:b/>
          <w:color w:val="073763"/>
        </w:rPr>
        <w:t>PROFESSIONAL</w:t>
      </w:r>
      <w:r w:rsidR="00EA6D4D" w:rsidRPr="00A60CF3">
        <w:rPr>
          <w:rFonts w:ascii="Verdana" w:eastAsia="Verdana" w:hAnsi="Verdana" w:cs="Calibri"/>
          <w:b/>
          <w:color w:val="073763"/>
        </w:rPr>
        <w:t xml:space="preserve"> SUMMARY</w:t>
      </w:r>
    </w:p>
    <w:p w14:paraId="2EB1078F" w14:textId="7CC07369" w:rsidR="00A06B65" w:rsidRDefault="00724BEF" w:rsidP="00442871">
      <w:pPr>
        <w:spacing w:after="100" w:afterAutospacing="1" w:line="240" w:lineRule="auto"/>
        <w:rPr>
          <w:rFonts w:ascii="Verdana" w:eastAsia="Times New Roman" w:hAnsi="Verdana" w:cs="Calibri"/>
          <w:lang w:eastAsia="en-AE"/>
        </w:rPr>
      </w:pPr>
      <w:r>
        <w:rPr>
          <w:rFonts w:ascii="Verdana" w:eastAsia="Verdana" w:hAnsi="Verdana" w:cs="Calibri"/>
          <w:sz w:val="21"/>
          <w:lang w:eastAsia="en-AE"/>
        </w:rPr>
        <w:t>Extensive experience in</w:t>
      </w:r>
      <w:r w:rsidR="006A26CB" w:rsidRPr="00FC3D7B">
        <w:rPr>
          <w:rFonts w:ascii="Verdana" w:eastAsia="Verdana" w:hAnsi="Verdana" w:cs="Calibri"/>
          <w:sz w:val="21"/>
          <w:lang w:eastAsia="en-AE"/>
        </w:rPr>
        <w:t xml:space="preserve"> Governance, Risk, and Compliance (GRC) professional with ISACA certifications in CISA, CISM, and CDPSE. </w:t>
      </w:r>
      <w:r w:rsidR="005D6845" w:rsidRPr="00FC3D7B">
        <w:rPr>
          <w:rFonts w:ascii="Verdana" w:eastAsia="Verdana" w:hAnsi="Verdana" w:cs="Calibri"/>
          <w:sz w:val="21"/>
          <w:lang w:eastAsia="en-AE"/>
        </w:rPr>
        <w:t xml:space="preserve">Demonstrated </w:t>
      </w:r>
      <w:r w:rsidR="00551E22" w:rsidRPr="00551E22">
        <w:rPr>
          <w:rFonts w:ascii="Verdana" w:eastAsia="Verdana" w:hAnsi="Verdana" w:cs="Calibri"/>
          <w:sz w:val="21"/>
          <w:lang w:eastAsia="en-AE"/>
        </w:rPr>
        <w:t>expertise in driving strategic security initiatives</w:t>
      </w:r>
      <w:r w:rsidR="005D6845" w:rsidRPr="00FC3D7B">
        <w:rPr>
          <w:rFonts w:ascii="Verdana" w:eastAsia="Verdana" w:hAnsi="Verdana" w:cs="Calibri"/>
          <w:sz w:val="21"/>
          <w:lang w:eastAsia="en-AE"/>
        </w:rPr>
        <w:t xml:space="preserve">, managing IT network audits, security risk management, comprehensive third-party vendor assessments and executing robust compliance programs, particularly within Fortune 500, healthcare, financial services, and government sectors. </w:t>
      </w:r>
      <w:r w:rsidR="00C46F81" w:rsidRPr="001A0A9C">
        <w:rPr>
          <w:rFonts w:ascii="Verdana" w:eastAsia="Verdana" w:hAnsi="Verdana" w:cs="Calibri"/>
          <w:sz w:val="21"/>
          <w:lang w:eastAsia="en-AE"/>
        </w:rPr>
        <w:t>Experience</w:t>
      </w:r>
      <w:r w:rsidR="001A0A9C" w:rsidRPr="001A0A9C">
        <w:rPr>
          <w:rFonts w:ascii="Verdana" w:eastAsia="Verdana" w:hAnsi="Verdana" w:cs="Calibri"/>
          <w:sz w:val="21"/>
          <w:lang w:eastAsia="en-AE"/>
        </w:rPr>
        <w:t xml:space="preserve"> with NIST, SSAE18 – SOC 1 SOC 2, HITRUST, </w:t>
      </w:r>
      <w:r w:rsidR="00AC6C46">
        <w:rPr>
          <w:rFonts w:ascii="Verdana" w:eastAsia="Verdana" w:hAnsi="Verdana" w:cs="Calibri"/>
          <w:sz w:val="21"/>
          <w:lang w:eastAsia="en-AE"/>
        </w:rPr>
        <w:t xml:space="preserve">ISO, </w:t>
      </w:r>
      <w:r w:rsidR="001A0A9C" w:rsidRPr="001A0A9C">
        <w:rPr>
          <w:rFonts w:ascii="Verdana" w:eastAsia="Verdana" w:hAnsi="Verdana" w:cs="Calibri"/>
          <w:sz w:val="21"/>
          <w:lang w:eastAsia="en-AE"/>
        </w:rPr>
        <w:t>SOX and more, ensuring adherence across diverse sectors.</w:t>
      </w:r>
    </w:p>
    <w:p w14:paraId="587BD2A3" w14:textId="28CB61F2" w:rsidR="006A26CB" w:rsidRPr="00FC3D7B" w:rsidRDefault="005D6845" w:rsidP="00442871">
      <w:pPr>
        <w:spacing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P</w:t>
      </w:r>
      <w:r w:rsidR="007F73F0" w:rsidRPr="00FC3D7B">
        <w:rPr>
          <w:rFonts w:ascii="Verdana" w:eastAsia="Verdana" w:hAnsi="Verdana" w:cs="Calibri"/>
          <w:sz w:val="21"/>
          <w:lang w:eastAsia="en-AE"/>
        </w:rPr>
        <w:t>roven ability to develop and execute high-impact GRC programs that elevate security and compliance</w:t>
      </w:r>
      <w:r w:rsidRPr="00FC3D7B">
        <w:rPr>
          <w:rFonts w:ascii="Verdana" w:eastAsia="Verdana" w:hAnsi="Verdana"/>
          <w:sz w:val="21"/>
        </w:rPr>
        <w:t xml:space="preserve"> </w:t>
      </w:r>
      <w:r w:rsidRPr="00FC3D7B">
        <w:rPr>
          <w:rFonts w:ascii="Verdana" w:eastAsia="Verdana" w:hAnsi="Verdana" w:cs="Calibri"/>
          <w:sz w:val="21"/>
          <w:lang w:eastAsia="en-AE"/>
        </w:rPr>
        <w:t>significantly enhancing audit outcomes and privacy protection measures.</w:t>
      </w:r>
      <w:r w:rsidR="007F73F0" w:rsidRPr="00FC3D7B">
        <w:rPr>
          <w:rFonts w:ascii="Verdana" w:eastAsia="Verdana" w:hAnsi="Verdana" w:cs="Calibri"/>
          <w:sz w:val="21"/>
          <w:lang w:eastAsia="en-AE"/>
        </w:rPr>
        <w:t xml:space="preserve"> </w:t>
      </w:r>
      <w:r w:rsidR="00724BEF" w:rsidRPr="00724BEF">
        <w:rPr>
          <w:rFonts w:ascii="Verdana" w:eastAsia="Verdana" w:hAnsi="Verdana" w:cs="Calibri"/>
          <w:sz w:val="21"/>
          <w:lang w:eastAsia="en-AE"/>
        </w:rPr>
        <w:t xml:space="preserve">Remote-capable GRC professional with a proven </w:t>
      </w:r>
      <w:r w:rsidR="00C46F81" w:rsidRPr="00724BEF">
        <w:rPr>
          <w:rFonts w:ascii="Verdana" w:eastAsia="Verdana" w:hAnsi="Verdana" w:cs="Calibri"/>
          <w:sz w:val="21"/>
          <w:lang w:eastAsia="en-AE"/>
        </w:rPr>
        <w:t>history</w:t>
      </w:r>
      <w:r w:rsidR="00724BEF" w:rsidRPr="00724BEF">
        <w:rPr>
          <w:rFonts w:ascii="Verdana" w:eastAsia="Verdana" w:hAnsi="Verdana" w:cs="Calibri"/>
          <w:sz w:val="21"/>
          <w:lang w:eastAsia="en-AE"/>
        </w:rPr>
        <w:t xml:space="preserve"> of delivering measurable security, risk, and compliance outcomes across multiple industries.</w:t>
      </w:r>
      <w:r w:rsidR="00551E22" w:rsidRPr="00551E22">
        <w:rPr>
          <w:rFonts w:ascii="Verdana" w:eastAsia="Verdana" w:hAnsi="Verdana"/>
          <w:sz w:val="21"/>
        </w:rPr>
        <w:t xml:space="preserve"> </w:t>
      </w:r>
      <w:r w:rsidR="00551E22" w:rsidRPr="00551E22">
        <w:rPr>
          <w:rFonts w:ascii="Verdana" w:eastAsia="Verdana" w:hAnsi="Verdana" w:cs="Calibri"/>
          <w:sz w:val="21"/>
          <w:lang w:eastAsia="en-AE"/>
        </w:rPr>
        <w:t>Positioned to leverage GRC leadership experience to deliver enterprise-wide compliance and security improvements.</w:t>
      </w:r>
    </w:p>
    <w:bookmarkEnd w:id="1"/>
    <w:p w14:paraId="5038FCE0" w14:textId="77777777" w:rsidR="0054740D" w:rsidRPr="00FC3D7B" w:rsidRDefault="00000000" w:rsidP="006B1CB1">
      <w:pPr>
        <w:spacing w:line="240" w:lineRule="auto"/>
        <w:rPr>
          <w:rFonts w:ascii="Verdana" w:eastAsia="Times New Roman" w:hAnsi="Verdana" w:cs="Calibri"/>
          <w:lang w:eastAsia="en-AE"/>
        </w:rPr>
      </w:pPr>
      <w:r>
        <w:rPr>
          <w:rFonts w:ascii="Verdana" w:eastAsia="Verdana" w:hAnsi="Verdana" w:cs="Calibri"/>
          <w:sz w:val="21"/>
          <w:lang w:eastAsia="en-AE"/>
        </w:rPr>
        <w:pict w14:anchorId="479DF320">
          <v:rect id="_x0000_i1025" style="width:0;height:1.5pt" o:hralign="center" o:hrstd="t" o:hr="t" fillcolor="#a0a0a0" stroked="f"/>
        </w:pict>
      </w:r>
    </w:p>
    <w:p w14:paraId="3549EC47" w14:textId="77777777" w:rsidR="007236F0" w:rsidRPr="00A60CF3" w:rsidRDefault="007236F0" w:rsidP="00442871">
      <w:pPr>
        <w:spacing w:after="120" w:line="240" w:lineRule="auto"/>
        <w:rPr>
          <w:rFonts w:ascii="Verdana" w:eastAsia="Times New Roman" w:hAnsi="Verdana" w:cs="Calibri"/>
          <w:b/>
          <w:bCs/>
          <w:color w:val="073763"/>
          <w:lang w:eastAsia="en-AE"/>
        </w:rPr>
      </w:pPr>
      <w:r w:rsidRPr="00A60CF3">
        <w:rPr>
          <w:rFonts w:ascii="Verdana" w:eastAsia="Verdana" w:hAnsi="Verdana"/>
          <w:b/>
          <w:bCs/>
          <w:color w:val="073763"/>
        </w:rPr>
        <w:t>CORE COMPETENCIES  SKILLS</w:t>
      </w:r>
    </w:p>
    <w:p w14:paraId="6FFA1D88" w14:textId="77777777" w:rsidR="0054740D" w:rsidRPr="00FC3D7B" w:rsidRDefault="0054740D" w:rsidP="00442871">
      <w:pPr>
        <w:numPr>
          <w:ilvl w:val="0"/>
          <w:numId w:val="3"/>
        </w:numPr>
        <w:spacing w:before="60"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IT Auditing and Assessment</w:t>
      </w:r>
    </w:p>
    <w:p w14:paraId="694BDE05" w14:textId="77777777" w:rsidR="0054740D" w:rsidRPr="00FC3D7B" w:rsidRDefault="0054740D" w:rsidP="0054740D">
      <w:pPr>
        <w:numPr>
          <w:ilvl w:val="0"/>
          <w:numId w:val="3"/>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Vendor Risk Management</w:t>
      </w:r>
    </w:p>
    <w:p w14:paraId="1E914A26" w14:textId="77777777" w:rsidR="00A823A9" w:rsidRPr="00FC3D7B" w:rsidRDefault="00A823A9" w:rsidP="00A823A9">
      <w:pPr>
        <w:pStyle w:val="ListParagraph"/>
        <w:numPr>
          <w:ilvl w:val="0"/>
          <w:numId w:val="3"/>
        </w:numPr>
        <w:spacing w:after="0"/>
        <w:rPr>
          <w:rFonts w:ascii="Verdana" w:eastAsia="Times New Roman" w:hAnsi="Verdana" w:cs="Calibri"/>
          <w:lang w:eastAsia="en-AE"/>
        </w:rPr>
      </w:pPr>
      <w:r w:rsidRPr="00FC3D7B">
        <w:rPr>
          <w:rFonts w:ascii="Verdana" w:eastAsia="Verdana" w:hAnsi="Verdana" w:cs="Calibri"/>
          <w:sz w:val="21"/>
          <w:lang w:eastAsia="en-AE"/>
        </w:rPr>
        <w:t>Security Risk Management</w:t>
      </w:r>
    </w:p>
    <w:p w14:paraId="46D64F99" w14:textId="77777777" w:rsidR="0054740D" w:rsidRPr="00FC3D7B" w:rsidRDefault="0054740D" w:rsidP="00442871">
      <w:pPr>
        <w:numPr>
          <w:ilvl w:val="0"/>
          <w:numId w:val="3"/>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Audit Management</w:t>
      </w:r>
    </w:p>
    <w:p w14:paraId="26B8787A" w14:textId="77777777" w:rsidR="0054740D" w:rsidRPr="00FC3D7B" w:rsidRDefault="00D53E03" w:rsidP="00A823A9">
      <w:pPr>
        <w:numPr>
          <w:ilvl w:val="0"/>
          <w:numId w:val="3"/>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 xml:space="preserve">Compliance </w:t>
      </w:r>
      <w:r w:rsidR="0054740D" w:rsidRPr="00FC3D7B">
        <w:rPr>
          <w:rFonts w:ascii="Verdana" w:eastAsia="Verdana" w:hAnsi="Verdana" w:cs="Calibri"/>
          <w:sz w:val="21"/>
          <w:lang w:eastAsia="en-AE"/>
        </w:rPr>
        <w:t>Control Assurance</w:t>
      </w:r>
    </w:p>
    <w:p w14:paraId="0DF29646" w14:textId="77777777" w:rsidR="0054740D" w:rsidRPr="00FC3D7B" w:rsidRDefault="0054740D" w:rsidP="0054740D">
      <w:pPr>
        <w:numPr>
          <w:ilvl w:val="0"/>
          <w:numId w:val="3"/>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Privacy</w:t>
      </w:r>
    </w:p>
    <w:p w14:paraId="2E7BA684" w14:textId="77777777" w:rsidR="0054740D" w:rsidRPr="00FC3D7B" w:rsidRDefault="0054740D" w:rsidP="0054740D">
      <w:pPr>
        <w:numPr>
          <w:ilvl w:val="0"/>
          <w:numId w:val="3"/>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Business Continuity and Disaster Recovery</w:t>
      </w:r>
    </w:p>
    <w:p w14:paraId="58AFDA70" w14:textId="77777777" w:rsidR="0054740D" w:rsidRPr="00FC3D7B" w:rsidRDefault="0054740D" w:rsidP="0054740D">
      <w:pPr>
        <w:numPr>
          <w:ilvl w:val="0"/>
          <w:numId w:val="3"/>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Policy Management</w:t>
      </w:r>
    </w:p>
    <w:p w14:paraId="6D5BD546" w14:textId="77777777" w:rsidR="00BB13B5" w:rsidRPr="00FC3D7B" w:rsidRDefault="00BB13B5" w:rsidP="0054740D">
      <w:pPr>
        <w:numPr>
          <w:ilvl w:val="0"/>
          <w:numId w:val="3"/>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Training Oversight – Security Awareness, Compliance Requirements</w:t>
      </w:r>
    </w:p>
    <w:p w14:paraId="7711CF6B" w14:textId="77777777" w:rsidR="0054740D" w:rsidRPr="00FC3D7B" w:rsidRDefault="0054740D" w:rsidP="0051435C">
      <w:pPr>
        <w:numPr>
          <w:ilvl w:val="0"/>
          <w:numId w:val="3"/>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 xml:space="preserve">Industry Regulation Compliance </w:t>
      </w:r>
      <w:r w:rsidR="00724BEF">
        <w:rPr>
          <w:rFonts w:ascii="Verdana" w:eastAsia="Verdana" w:hAnsi="Verdana" w:cs="Calibri"/>
          <w:sz w:val="21"/>
          <w:lang w:eastAsia="en-AE"/>
        </w:rPr>
        <w:t>-</w:t>
      </w:r>
      <w:r w:rsidR="00CA0297" w:rsidRPr="00FC3D7B">
        <w:rPr>
          <w:rFonts w:ascii="Verdana" w:eastAsia="Verdana" w:hAnsi="Verdana" w:cs="Calibri"/>
          <w:sz w:val="21"/>
          <w:lang w:eastAsia="en-AE"/>
        </w:rPr>
        <w:t xml:space="preserve"> </w:t>
      </w:r>
      <w:r w:rsidRPr="00FC3D7B">
        <w:rPr>
          <w:rFonts w:ascii="Verdana" w:eastAsia="Verdana" w:hAnsi="Verdana" w:cs="Calibri"/>
          <w:sz w:val="21"/>
          <w:lang w:eastAsia="en-AE"/>
        </w:rPr>
        <w:t xml:space="preserve">NIST, </w:t>
      </w:r>
      <w:r w:rsidR="0038128F" w:rsidRPr="00FC3D7B">
        <w:rPr>
          <w:rFonts w:ascii="Verdana" w:eastAsia="Verdana" w:hAnsi="Verdana" w:cs="Calibri"/>
          <w:sz w:val="21"/>
          <w:lang w:eastAsia="en-AE"/>
        </w:rPr>
        <w:t xml:space="preserve">FedRAMP, </w:t>
      </w:r>
      <w:r w:rsidRPr="00FC3D7B">
        <w:rPr>
          <w:rFonts w:ascii="Verdana" w:eastAsia="Verdana" w:hAnsi="Verdana" w:cs="Calibri"/>
          <w:sz w:val="21"/>
          <w:lang w:eastAsia="en-AE"/>
        </w:rPr>
        <w:t>CMMC, HIPAA, SOC 1, SOC 2, SOC 3, SSAE, SOX, PCI DSS, FISMA, SCADA, ISO</w:t>
      </w:r>
      <w:r w:rsidR="005204A2" w:rsidRPr="00FC3D7B">
        <w:rPr>
          <w:rFonts w:ascii="Verdana" w:eastAsia="Verdana" w:hAnsi="Verdana" w:cs="Calibri"/>
          <w:sz w:val="21"/>
          <w:lang w:eastAsia="en-AE"/>
        </w:rPr>
        <w:t xml:space="preserve"> 27001</w:t>
      </w:r>
      <w:r w:rsidRPr="00FC3D7B">
        <w:rPr>
          <w:rFonts w:ascii="Verdana" w:eastAsia="Verdana" w:hAnsi="Verdana" w:cs="Calibri"/>
          <w:sz w:val="21"/>
          <w:lang w:eastAsia="en-AE"/>
        </w:rPr>
        <w:t>, GLBA</w:t>
      </w:r>
      <w:r w:rsidR="005204A2" w:rsidRPr="00FC3D7B">
        <w:rPr>
          <w:rFonts w:ascii="Verdana" w:eastAsia="Verdana" w:hAnsi="Verdana" w:cs="Calibri"/>
          <w:sz w:val="21"/>
          <w:lang w:eastAsia="en-AE"/>
        </w:rPr>
        <w:t>, Privacy</w:t>
      </w:r>
      <w:r w:rsidR="00CA0297" w:rsidRPr="00FC3D7B">
        <w:rPr>
          <w:rFonts w:ascii="Verdana" w:eastAsia="Verdana" w:hAnsi="Verdana" w:cs="Calibri"/>
          <w:sz w:val="21"/>
          <w:lang w:eastAsia="en-AE"/>
        </w:rPr>
        <w:t xml:space="preserve"> </w:t>
      </w:r>
    </w:p>
    <w:p w14:paraId="014F38C8" w14:textId="77777777" w:rsidR="0054740D" w:rsidRPr="00FC3D7B" w:rsidRDefault="00000000" w:rsidP="006B1CB1">
      <w:pPr>
        <w:spacing w:line="240" w:lineRule="auto"/>
        <w:rPr>
          <w:rFonts w:ascii="Verdana" w:eastAsia="Times New Roman" w:hAnsi="Verdana" w:cs="Calibri"/>
          <w:lang w:eastAsia="en-AE"/>
        </w:rPr>
      </w:pPr>
      <w:r>
        <w:rPr>
          <w:rFonts w:ascii="Verdana" w:eastAsia="Verdana" w:hAnsi="Verdana" w:cs="Calibri"/>
          <w:sz w:val="21"/>
          <w:lang w:eastAsia="en-AE"/>
        </w:rPr>
        <w:pict w14:anchorId="1184DFE1">
          <v:rect id="_x0000_i1026" style="width:0;height:1.5pt" o:hralign="center" o:hrstd="t" o:hr="t" fillcolor="#a0a0a0" stroked="f"/>
        </w:pict>
      </w:r>
    </w:p>
    <w:p w14:paraId="5741FC57" w14:textId="77777777" w:rsidR="0054740D" w:rsidRPr="00A60CF3" w:rsidRDefault="0054740D" w:rsidP="00442871">
      <w:pPr>
        <w:spacing w:after="120" w:line="240" w:lineRule="auto"/>
        <w:outlineLvl w:val="2"/>
        <w:rPr>
          <w:rFonts w:ascii="Verdana" w:eastAsia="Times New Roman" w:hAnsi="Verdana" w:cs="Calibri"/>
          <w:b/>
          <w:bCs/>
          <w:color w:val="073763"/>
          <w:lang w:eastAsia="en-AE"/>
        </w:rPr>
      </w:pPr>
      <w:r w:rsidRPr="00A60CF3">
        <w:rPr>
          <w:rFonts w:ascii="Verdana" w:eastAsia="Verdana" w:hAnsi="Verdana" w:cs="Calibri"/>
          <w:b/>
          <w:bCs/>
          <w:color w:val="073763"/>
          <w:lang w:eastAsia="en-AE"/>
        </w:rPr>
        <w:t>E</w:t>
      </w:r>
      <w:r w:rsidR="006D1A69" w:rsidRPr="00A60CF3">
        <w:rPr>
          <w:rFonts w:ascii="Verdana" w:eastAsia="Verdana" w:hAnsi="Verdana" w:cs="Calibri"/>
          <w:b/>
          <w:bCs/>
          <w:color w:val="073763"/>
          <w:lang w:eastAsia="en-AE"/>
        </w:rPr>
        <w:t>XPERIENCE</w:t>
      </w:r>
    </w:p>
    <w:p w14:paraId="197A6B7A" w14:textId="7FEA8D30" w:rsidR="0054740D" w:rsidRPr="00FC3D7B" w:rsidRDefault="0054740D" w:rsidP="00442871">
      <w:pPr>
        <w:spacing w:before="60" w:after="100" w:afterAutospacing="1" w:line="240" w:lineRule="auto"/>
        <w:rPr>
          <w:rFonts w:ascii="Verdana" w:eastAsia="Times New Roman" w:hAnsi="Verdana" w:cs="Calibri"/>
          <w:lang w:eastAsia="en-AE"/>
        </w:rPr>
      </w:pPr>
      <w:r w:rsidRPr="00FC3D7B">
        <w:rPr>
          <w:rFonts w:ascii="Verdana" w:eastAsia="Verdana" w:hAnsi="Verdana" w:cs="Calibri"/>
          <w:b/>
          <w:bCs/>
          <w:sz w:val="21"/>
          <w:lang w:eastAsia="en-AE"/>
        </w:rPr>
        <w:t xml:space="preserve">Sr. IT Governance, Risk Management, and Compliance (GRC) </w:t>
      </w:r>
      <w:r w:rsidR="0062003D">
        <w:rPr>
          <w:rFonts w:ascii="Verdana" w:eastAsia="Verdana" w:hAnsi="Verdana" w:cs="Calibri"/>
          <w:b/>
          <w:bCs/>
          <w:sz w:val="21"/>
          <w:lang w:eastAsia="en-AE"/>
        </w:rPr>
        <w:t>- Remote</w:t>
      </w:r>
      <w:r w:rsidRPr="00FC3D7B">
        <w:rPr>
          <w:rFonts w:ascii="Verdana" w:eastAsia="Verdana" w:hAnsi="Verdana" w:cs="Calibri"/>
          <w:sz w:val="21"/>
          <w:lang w:eastAsia="en-AE"/>
        </w:rPr>
        <w:br/>
      </w:r>
      <w:r w:rsidRPr="00FC3D7B">
        <w:rPr>
          <w:rFonts w:ascii="Verdana" w:eastAsia="Verdana" w:hAnsi="Verdana" w:cs="Calibri"/>
          <w:b/>
          <w:bCs/>
          <w:sz w:val="21"/>
          <w:lang w:eastAsia="en-AE"/>
        </w:rPr>
        <w:t>Upgrade Inc.</w:t>
      </w:r>
      <w:r w:rsidR="004E6419" w:rsidRPr="00FC3D7B">
        <w:rPr>
          <w:rFonts w:ascii="Verdana" w:eastAsia="Verdana" w:hAnsi="Verdana" w:cs="Calibri"/>
          <w:b/>
          <w:bCs/>
          <w:sz w:val="21"/>
          <w:lang w:eastAsia="en-AE"/>
        </w:rPr>
        <w:t xml:space="preserve"> </w:t>
      </w:r>
      <w:r w:rsidR="004E6419" w:rsidRPr="00FC3D7B">
        <w:rPr>
          <w:rFonts w:ascii="Verdana" w:eastAsia="Verdana" w:hAnsi="Verdana" w:cs="Calibri"/>
          <w:sz w:val="21"/>
          <w:lang w:eastAsia="en-AE"/>
        </w:rPr>
        <w:t>(FinTech – BNPL)</w:t>
      </w:r>
      <w:r w:rsidR="00875220" w:rsidRPr="00FC3D7B">
        <w:rPr>
          <w:rFonts w:ascii="Verdana" w:eastAsia="Verdana" w:hAnsi="Verdana" w:cs="Calibri"/>
          <w:b/>
          <w:bCs/>
          <w:sz w:val="21"/>
          <w:lang w:eastAsia="en-AE"/>
        </w:rPr>
        <w:t xml:space="preserve"> </w:t>
      </w:r>
      <w:r w:rsidR="00724BEF">
        <w:rPr>
          <w:rFonts w:ascii="Verdana" w:eastAsia="Verdana" w:hAnsi="Verdana" w:cs="Calibri"/>
          <w:sz w:val="21"/>
          <w:lang w:eastAsia="en-AE"/>
        </w:rPr>
        <w:t>-</w:t>
      </w:r>
      <w:r w:rsidRPr="00FC3D7B">
        <w:rPr>
          <w:rFonts w:ascii="Verdana" w:eastAsia="Verdana" w:hAnsi="Verdana" w:cs="Calibri"/>
          <w:sz w:val="21"/>
          <w:lang w:eastAsia="en-AE"/>
        </w:rPr>
        <w:t xml:space="preserve"> San Francisco, CA </w:t>
      </w:r>
      <w:r w:rsidR="00724BEF">
        <w:rPr>
          <w:rFonts w:ascii="Verdana" w:eastAsia="Verdana" w:hAnsi="Verdana" w:cs="Calibri"/>
          <w:sz w:val="21"/>
          <w:lang w:eastAsia="en-AE"/>
        </w:rPr>
        <w:t xml:space="preserve">- </w:t>
      </w:r>
      <w:r w:rsidRPr="00FC3D7B">
        <w:rPr>
          <w:rFonts w:ascii="Verdana" w:eastAsia="Verdana" w:hAnsi="Verdana" w:cs="Calibri"/>
          <w:sz w:val="21"/>
          <w:lang w:eastAsia="en-AE"/>
        </w:rPr>
        <w:t xml:space="preserve"> 07/2022 - Present</w:t>
      </w:r>
    </w:p>
    <w:p w14:paraId="0879EC68" w14:textId="77777777" w:rsidR="00925069" w:rsidRPr="00FC3D7B" w:rsidRDefault="00925069" w:rsidP="003A1053">
      <w:pPr>
        <w:numPr>
          <w:ilvl w:val="0"/>
          <w:numId w:val="4"/>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 xml:space="preserve">Key Results: </w:t>
      </w:r>
      <w:r w:rsidR="00DC6576" w:rsidRPr="00FC3D7B">
        <w:rPr>
          <w:rFonts w:ascii="Verdana" w:eastAsia="Verdana" w:hAnsi="Verdana" w:cs="Calibri"/>
          <w:sz w:val="21"/>
          <w:lang w:eastAsia="en-AE"/>
        </w:rPr>
        <w:t>Achieved</w:t>
      </w:r>
      <w:r w:rsidR="007B230B" w:rsidRPr="00FC3D7B">
        <w:rPr>
          <w:rFonts w:ascii="Verdana" w:eastAsia="Verdana" w:hAnsi="Verdana" w:cs="Calibri"/>
          <w:sz w:val="21"/>
          <w:lang w:eastAsia="en-AE"/>
        </w:rPr>
        <w:t xml:space="preserve"> </w:t>
      </w:r>
      <w:r w:rsidR="00724BEF" w:rsidRPr="00724BEF">
        <w:rPr>
          <w:rFonts w:ascii="Verdana" w:eastAsia="Verdana" w:hAnsi="Verdana" w:cs="Calibri"/>
          <w:sz w:val="21"/>
          <w:lang w:eastAsia="en-AE"/>
        </w:rPr>
        <w:t>audit outcomes with no reported exceptions or deficiencies.</w:t>
      </w:r>
      <w:r w:rsidR="007B230B" w:rsidRPr="00FC3D7B">
        <w:rPr>
          <w:rFonts w:ascii="Verdana" w:eastAsia="Verdana" w:hAnsi="Verdana" w:cs="Calibri"/>
          <w:sz w:val="21"/>
          <w:lang w:eastAsia="en-AE"/>
        </w:rPr>
        <w:t xml:space="preserve"> </w:t>
      </w:r>
      <w:r w:rsidR="00DC6576" w:rsidRPr="00FC3D7B">
        <w:rPr>
          <w:rFonts w:ascii="Verdana" w:eastAsia="Verdana" w:hAnsi="Verdana" w:cs="Calibri"/>
          <w:sz w:val="21"/>
          <w:lang w:eastAsia="en-AE"/>
        </w:rPr>
        <w:t>Led</w:t>
      </w:r>
      <w:r w:rsidR="007B230B" w:rsidRPr="00FC3D7B">
        <w:rPr>
          <w:rFonts w:ascii="Verdana" w:eastAsia="Verdana" w:hAnsi="Verdana" w:cs="Calibri"/>
          <w:sz w:val="21"/>
          <w:lang w:eastAsia="en-AE"/>
        </w:rPr>
        <w:t xml:space="preserve"> the establishment, implementation, and oversight of Upgrade's</w:t>
      </w:r>
      <w:r w:rsidR="00DC6576" w:rsidRPr="00FC3D7B">
        <w:rPr>
          <w:rFonts w:ascii="Verdana" w:eastAsia="Verdana" w:hAnsi="Verdana" w:cs="Calibri"/>
          <w:sz w:val="21"/>
          <w:lang w:eastAsia="en-AE"/>
        </w:rPr>
        <w:t xml:space="preserve"> first</w:t>
      </w:r>
      <w:r w:rsidR="007B230B" w:rsidRPr="00FC3D7B">
        <w:rPr>
          <w:rFonts w:ascii="Verdana" w:eastAsia="Verdana" w:hAnsi="Verdana" w:cs="Calibri"/>
          <w:sz w:val="21"/>
          <w:lang w:eastAsia="en-AE"/>
        </w:rPr>
        <w:t xml:space="preserve"> IT SOC 2 Type II and </w:t>
      </w:r>
      <w:r w:rsidR="00DC6576" w:rsidRPr="00FC3D7B">
        <w:rPr>
          <w:rFonts w:ascii="Verdana" w:eastAsia="Verdana" w:hAnsi="Verdana" w:cs="Calibri"/>
          <w:sz w:val="21"/>
          <w:lang w:eastAsia="en-AE"/>
        </w:rPr>
        <w:t>for their PCI DSS audit to meet v4 requirements.</w:t>
      </w:r>
      <w:r w:rsidR="007B230B" w:rsidRPr="00FC3D7B">
        <w:rPr>
          <w:rFonts w:ascii="Verdana" w:eastAsia="Verdana" w:hAnsi="Verdana" w:cs="Calibri"/>
          <w:sz w:val="21"/>
          <w:lang w:eastAsia="en-AE"/>
        </w:rPr>
        <w:t xml:space="preserve"> </w:t>
      </w:r>
      <w:r w:rsidR="00551E22" w:rsidRPr="00551E22">
        <w:rPr>
          <w:rFonts w:ascii="Verdana" w:eastAsia="Verdana" w:hAnsi="Verdana" w:cs="Calibri"/>
          <w:sz w:val="21"/>
          <w:lang w:eastAsia="en-AE"/>
        </w:rPr>
        <w:t>Managed end-to-end IT audit processes, coordinating across departments to ensure 100% control coverage.</w:t>
      </w:r>
    </w:p>
    <w:p w14:paraId="486F1764" w14:textId="77777777" w:rsidR="00724BEF" w:rsidRDefault="00724BEF" w:rsidP="0054740D">
      <w:pPr>
        <w:numPr>
          <w:ilvl w:val="0"/>
          <w:numId w:val="4"/>
        </w:numPr>
        <w:spacing w:before="100" w:beforeAutospacing="1" w:after="100" w:afterAutospacing="1" w:line="240" w:lineRule="auto"/>
        <w:rPr>
          <w:rFonts w:ascii="Verdana" w:eastAsia="Times New Roman" w:hAnsi="Verdana" w:cs="Calibri"/>
          <w:lang w:eastAsia="en-AE"/>
        </w:rPr>
      </w:pPr>
      <w:r w:rsidRPr="00724BEF">
        <w:rPr>
          <w:rFonts w:ascii="Verdana" w:eastAsia="Verdana" w:hAnsi="Verdana" w:cs="Calibri"/>
          <w:sz w:val="21"/>
          <w:lang w:eastAsia="en-AE"/>
        </w:rPr>
        <w:t>Led a team to complete SOC 2 Type II certification, meeting 100% of compliance control requirements.</w:t>
      </w:r>
    </w:p>
    <w:p w14:paraId="68E12759" w14:textId="77777777" w:rsidR="00724BEF" w:rsidRDefault="00724BEF" w:rsidP="0054740D">
      <w:pPr>
        <w:numPr>
          <w:ilvl w:val="0"/>
          <w:numId w:val="4"/>
        </w:numPr>
        <w:spacing w:before="100" w:beforeAutospacing="1" w:after="100" w:afterAutospacing="1" w:line="240" w:lineRule="auto"/>
        <w:rPr>
          <w:rFonts w:ascii="Verdana" w:eastAsia="Times New Roman" w:hAnsi="Verdana" w:cs="Calibri"/>
          <w:lang w:eastAsia="en-AE"/>
        </w:rPr>
      </w:pPr>
      <w:r w:rsidRPr="00724BEF">
        <w:rPr>
          <w:rFonts w:ascii="Verdana" w:eastAsia="Verdana" w:hAnsi="Verdana" w:cs="Calibri"/>
          <w:sz w:val="21"/>
          <w:lang w:eastAsia="en-AE"/>
        </w:rPr>
        <w:t>Utilized automation platforms (Vanta, Drata) to streamline evidence collection and audit readiness.</w:t>
      </w:r>
    </w:p>
    <w:p w14:paraId="20AF813D" w14:textId="762A7D88" w:rsidR="0054740D" w:rsidRPr="00FC3D7B" w:rsidRDefault="0054740D" w:rsidP="0054740D">
      <w:pPr>
        <w:numPr>
          <w:ilvl w:val="0"/>
          <w:numId w:val="4"/>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 xml:space="preserve">Implemented </w:t>
      </w:r>
      <w:r w:rsidR="00C46F81" w:rsidRPr="00FC3D7B">
        <w:rPr>
          <w:rFonts w:ascii="Verdana" w:eastAsia="Verdana" w:hAnsi="Verdana" w:cs="Calibri"/>
          <w:sz w:val="21"/>
          <w:lang w:eastAsia="en-AE"/>
        </w:rPr>
        <w:t>an initiative-taking</w:t>
      </w:r>
      <w:r w:rsidR="00D53E03" w:rsidRPr="00FC3D7B">
        <w:rPr>
          <w:rFonts w:ascii="Verdana" w:eastAsia="Verdana" w:hAnsi="Verdana" w:cs="Calibri"/>
          <w:sz w:val="21"/>
          <w:lang w:eastAsia="en-AE"/>
        </w:rPr>
        <w:t xml:space="preserve"> </w:t>
      </w:r>
      <w:r w:rsidRPr="00FC3D7B">
        <w:rPr>
          <w:rFonts w:ascii="Verdana" w:eastAsia="Verdana" w:hAnsi="Verdana" w:cs="Calibri"/>
          <w:sz w:val="21"/>
          <w:lang w:eastAsia="en-AE"/>
        </w:rPr>
        <w:t xml:space="preserve">IT gap </w:t>
      </w:r>
      <w:r w:rsidR="00C35D01" w:rsidRPr="00FC3D7B">
        <w:rPr>
          <w:rFonts w:ascii="Verdana" w:eastAsia="Verdana" w:hAnsi="Verdana" w:cs="Calibri"/>
          <w:sz w:val="21"/>
          <w:lang w:eastAsia="en-AE"/>
        </w:rPr>
        <w:t xml:space="preserve">identification </w:t>
      </w:r>
      <w:r w:rsidRPr="00FC3D7B">
        <w:rPr>
          <w:rFonts w:ascii="Verdana" w:eastAsia="Verdana" w:hAnsi="Verdana" w:cs="Calibri"/>
          <w:sz w:val="21"/>
          <w:lang w:eastAsia="en-AE"/>
        </w:rPr>
        <w:t>analysis</w:t>
      </w:r>
      <w:r w:rsidR="00D53E03" w:rsidRPr="00FC3D7B">
        <w:rPr>
          <w:rFonts w:ascii="Verdana" w:eastAsia="Verdana" w:hAnsi="Verdana" w:cs="Calibri"/>
          <w:sz w:val="21"/>
          <w:lang w:eastAsia="en-AE"/>
        </w:rPr>
        <w:t>, successfully mitigating compliance risks to meet GLBA and Data Privacy requirements.</w:t>
      </w:r>
    </w:p>
    <w:p w14:paraId="07FDB6F6" w14:textId="77777777" w:rsidR="00D53E03" w:rsidRPr="00FC3D7B" w:rsidRDefault="00D53E03" w:rsidP="00E45200">
      <w:pPr>
        <w:pStyle w:val="ListParagraph"/>
        <w:numPr>
          <w:ilvl w:val="0"/>
          <w:numId w:val="4"/>
        </w:numPr>
        <w:spacing w:after="0"/>
        <w:rPr>
          <w:rFonts w:ascii="Verdana" w:eastAsia="Times New Roman" w:hAnsi="Verdana" w:cs="Calibri"/>
          <w:lang w:eastAsia="en-AE"/>
        </w:rPr>
      </w:pPr>
      <w:r w:rsidRPr="00FC3D7B">
        <w:rPr>
          <w:rFonts w:ascii="Verdana" w:eastAsia="Verdana" w:hAnsi="Verdana" w:cs="Calibri"/>
          <w:sz w:val="21"/>
          <w:lang w:eastAsia="en-AE"/>
        </w:rPr>
        <w:lastRenderedPageBreak/>
        <w:t>Directed cross-functional GLBA compliance efforts by identifying critical gaps and implementing remediation strategies, effectively collaborating with Legal, HR, and other departments.</w:t>
      </w:r>
    </w:p>
    <w:p w14:paraId="2B60BEE1" w14:textId="77777777" w:rsidR="00E45200" w:rsidRPr="00FC3D7B" w:rsidRDefault="00DC6576" w:rsidP="00E45200">
      <w:pPr>
        <w:pStyle w:val="ListParagraph"/>
        <w:numPr>
          <w:ilvl w:val="0"/>
          <w:numId w:val="4"/>
        </w:numPr>
        <w:spacing w:after="0"/>
        <w:rPr>
          <w:rFonts w:ascii="Verdana" w:eastAsia="Times New Roman" w:hAnsi="Verdana" w:cs="Calibri"/>
          <w:lang w:eastAsia="en-AE"/>
        </w:rPr>
      </w:pPr>
      <w:r w:rsidRPr="00FC3D7B">
        <w:rPr>
          <w:rFonts w:ascii="Verdana" w:eastAsia="Verdana" w:hAnsi="Verdana" w:cs="Calibri"/>
          <w:sz w:val="21"/>
          <w:lang w:eastAsia="en-AE"/>
        </w:rPr>
        <w:t>Select</w:t>
      </w:r>
      <w:r w:rsidR="00D53E03" w:rsidRPr="00FC3D7B">
        <w:rPr>
          <w:rFonts w:ascii="Verdana" w:eastAsia="Verdana" w:hAnsi="Verdana" w:cs="Calibri"/>
          <w:sz w:val="21"/>
          <w:lang w:eastAsia="en-AE"/>
        </w:rPr>
        <w:t>ed</w:t>
      </w:r>
      <w:r w:rsidRPr="00FC3D7B">
        <w:rPr>
          <w:rFonts w:ascii="Verdana" w:eastAsia="Verdana" w:hAnsi="Verdana" w:cs="Calibri"/>
          <w:sz w:val="21"/>
          <w:lang w:eastAsia="en-AE"/>
        </w:rPr>
        <w:t>, implement</w:t>
      </w:r>
      <w:r w:rsidR="00D53E03" w:rsidRPr="00FC3D7B">
        <w:rPr>
          <w:rFonts w:ascii="Verdana" w:eastAsia="Verdana" w:hAnsi="Verdana" w:cs="Calibri"/>
          <w:sz w:val="21"/>
          <w:lang w:eastAsia="en-AE"/>
        </w:rPr>
        <w:t>ed</w:t>
      </w:r>
      <w:r w:rsidRPr="00FC3D7B">
        <w:rPr>
          <w:rFonts w:ascii="Verdana" w:eastAsia="Verdana" w:hAnsi="Verdana" w:cs="Calibri"/>
          <w:sz w:val="21"/>
          <w:lang w:eastAsia="en-AE"/>
        </w:rPr>
        <w:t>, and oversee IT training programs through KnowBe4</w:t>
      </w:r>
      <w:r w:rsidR="00A80605" w:rsidRPr="00FC3D7B">
        <w:rPr>
          <w:rFonts w:ascii="Verdana" w:eastAsia="Verdana" w:hAnsi="Verdana" w:cs="Calibri"/>
          <w:sz w:val="21"/>
          <w:lang w:eastAsia="en-AE"/>
        </w:rPr>
        <w:t xml:space="preserve"> for</w:t>
      </w:r>
      <w:r w:rsidRPr="00FC3D7B">
        <w:rPr>
          <w:rFonts w:ascii="Verdana" w:eastAsia="Verdana" w:hAnsi="Verdana" w:cs="Calibri"/>
          <w:sz w:val="21"/>
          <w:lang w:eastAsia="en-AE"/>
        </w:rPr>
        <w:t xml:space="preserve"> </w:t>
      </w:r>
      <w:r w:rsidR="00A80605" w:rsidRPr="00FC3D7B">
        <w:rPr>
          <w:rFonts w:ascii="Verdana" w:eastAsia="Verdana" w:hAnsi="Verdana" w:cs="Calibri"/>
          <w:sz w:val="21"/>
          <w:lang w:eastAsia="en-AE"/>
        </w:rPr>
        <w:t xml:space="preserve">regulatory training, </w:t>
      </w:r>
      <w:r w:rsidRPr="00FC3D7B">
        <w:rPr>
          <w:rFonts w:ascii="Verdana" w:eastAsia="Verdana" w:hAnsi="Verdana" w:cs="Calibri"/>
          <w:sz w:val="21"/>
          <w:lang w:eastAsia="en-AE"/>
        </w:rPr>
        <w:t xml:space="preserve">phishing training, while developing internal IT policies to ensure alignment with compliance </w:t>
      </w:r>
      <w:r w:rsidR="00A80605" w:rsidRPr="00FC3D7B">
        <w:rPr>
          <w:rFonts w:ascii="Verdana" w:eastAsia="Verdana" w:hAnsi="Verdana" w:cs="Calibri"/>
          <w:sz w:val="21"/>
          <w:lang w:eastAsia="en-AE"/>
        </w:rPr>
        <w:t>requirements.</w:t>
      </w:r>
    </w:p>
    <w:p w14:paraId="39878A77" w14:textId="2C9D9571" w:rsidR="00037409" w:rsidRPr="00FC3D7B" w:rsidRDefault="00037409" w:rsidP="00322EB2">
      <w:pPr>
        <w:pStyle w:val="ListParagraph"/>
        <w:numPr>
          <w:ilvl w:val="0"/>
          <w:numId w:val="4"/>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 xml:space="preserve">Implemented and managed an effective program to answer, </w:t>
      </w:r>
      <w:r w:rsidR="00C46F81" w:rsidRPr="00FC3D7B">
        <w:rPr>
          <w:rFonts w:ascii="Verdana" w:eastAsia="Verdana" w:hAnsi="Verdana" w:cs="Calibri"/>
          <w:sz w:val="21"/>
          <w:lang w:eastAsia="en-AE"/>
        </w:rPr>
        <w:t>track,</w:t>
      </w:r>
      <w:r w:rsidRPr="00FC3D7B">
        <w:rPr>
          <w:rFonts w:ascii="Verdana" w:eastAsia="Verdana" w:hAnsi="Verdana" w:cs="Calibri"/>
          <w:sz w:val="21"/>
          <w:lang w:eastAsia="en-AE"/>
        </w:rPr>
        <w:t xml:space="preserve"> and document the request for information </w:t>
      </w:r>
      <w:r w:rsidR="00724BEF">
        <w:rPr>
          <w:rFonts w:ascii="Verdana" w:eastAsia="Verdana" w:hAnsi="Verdana" w:cs="Calibri"/>
          <w:sz w:val="21"/>
          <w:lang w:eastAsia="en-AE"/>
        </w:rPr>
        <w:t>-</w:t>
      </w:r>
      <w:r w:rsidRPr="00FC3D7B">
        <w:rPr>
          <w:rFonts w:ascii="Verdana" w:eastAsia="Verdana" w:hAnsi="Verdana" w:cs="Calibri"/>
          <w:sz w:val="21"/>
          <w:lang w:eastAsia="en-AE"/>
        </w:rPr>
        <w:t xml:space="preserve"> RFI RF</w:t>
      </w:r>
      <w:r w:rsidR="00724BEF">
        <w:rPr>
          <w:rFonts w:ascii="Verdana" w:eastAsia="Verdana" w:hAnsi="Verdana" w:cs="Calibri"/>
          <w:sz w:val="21"/>
          <w:lang w:eastAsia="en-AE"/>
        </w:rPr>
        <w:t>P</w:t>
      </w:r>
      <w:r w:rsidRPr="00FC3D7B">
        <w:rPr>
          <w:rFonts w:ascii="Verdana" w:eastAsia="Verdana" w:hAnsi="Verdana" w:cs="Calibri"/>
          <w:sz w:val="21"/>
          <w:lang w:eastAsia="en-AE"/>
        </w:rPr>
        <w:t>.</w:t>
      </w:r>
    </w:p>
    <w:p w14:paraId="1FD7D112" w14:textId="77777777" w:rsidR="0054740D" w:rsidRPr="00FC3D7B" w:rsidRDefault="00CE1920" w:rsidP="00F439C5">
      <w:pPr>
        <w:pStyle w:val="ListParagraph"/>
        <w:numPr>
          <w:ilvl w:val="0"/>
          <w:numId w:val="4"/>
        </w:numPr>
        <w:spacing w:before="100" w:beforeAutospacing="1" w:after="100" w:afterAutospacing="1" w:line="240" w:lineRule="auto"/>
        <w:rPr>
          <w:rFonts w:ascii="Verdana" w:eastAsia="Times New Roman" w:hAnsi="Verdana" w:cs="Calibri"/>
          <w:lang w:eastAsia="en-AE"/>
        </w:rPr>
      </w:pPr>
      <w:r>
        <w:rPr>
          <w:rFonts w:ascii="Verdana" w:eastAsia="Verdana" w:hAnsi="Verdana"/>
          <w:sz w:val="21"/>
        </w:rPr>
        <w:t>Developed and aligned the internal IT Risk Management Program, collaborating with IT business unit and other corporate risk departments.</w:t>
      </w:r>
    </w:p>
    <w:p w14:paraId="357C7136" w14:textId="748E1F07" w:rsidR="00CE1920" w:rsidRPr="00FC3D7B" w:rsidRDefault="00D53E03" w:rsidP="0054740D">
      <w:pPr>
        <w:numPr>
          <w:ilvl w:val="0"/>
          <w:numId w:val="4"/>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Created and managed the internal</w:t>
      </w:r>
      <w:r w:rsidR="00CE1920" w:rsidRPr="00FC3D7B">
        <w:rPr>
          <w:rFonts w:ascii="Verdana" w:eastAsia="Verdana" w:hAnsi="Verdana" w:cs="Calibri"/>
          <w:sz w:val="21"/>
          <w:lang w:eastAsia="en-AE"/>
        </w:rPr>
        <w:t xml:space="preserve"> IT Vendor Management Program </w:t>
      </w:r>
      <w:r w:rsidR="00724BEF">
        <w:rPr>
          <w:rFonts w:ascii="Verdana" w:eastAsia="Verdana" w:hAnsi="Verdana" w:cs="Calibri"/>
          <w:sz w:val="21"/>
          <w:lang w:eastAsia="en-AE"/>
        </w:rPr>
        <w:t>-</w:t>
      </w:r>
      <w:r w:rsidR="00CE1920" w:rsidRPr="00FC3D7B">
        <w:rPr>
          <w:rFonts w:ascii="Verdana" w:eastAsia="Verdana" w:hAnsi="Verdana" w:cs="Calibri"/>
          <w:sz w:val="21"/>
          <w:lang w:eastAsia="en-AE"/>
        </w:rPr>
        <w:t xml:space="preserve"> TPRM </w:t>
      </w:r>
      <w:r w:rsidR="00724BEF">
        <w:rPr>
          <w:rFonts w:ascii="Verdana" w:eastAsia="Verdana" w:hAnsi="Verdana" w:cs="Calibri"/>
          <w:sz w:val="21"/>
          <w:lang w:eastAsia="en-AE"/>
        </w:rPr>
        <w:t>-</w:t>
      </w:r>
      <w:r w:rsidR="00CE1920" w:rsidRPr="00FC3D7B">
        <w:rPr>
          <w:rFonts w:ascii="Verdana" w:eastAsia="Verdana" w:hAnsi="Verdana" w:cs="Calibri"/>
          <w:sz w:val="21"/>
          <w:lang w:eastAsia="en-AE"/>
        </w:rPr>
        <w:t xml:space="preserve"> aligned with SOC 2 and PCI DSS utilizing OneTrust</w:t>
      </w:r>
      <w:r w:rsidR="00AC6C46">
        <w:rPr>
          <w:rFonts w:ascii="Verdana" w:eastAsia="Verdana" w:hAnsi="Verdana" w:cs="Calibri"/>
          <w:sz w:val="21"/>
          <w:lang w:eastAsia="en-AE"/>
        </w:rPr>
        <w:t>.</w:t>
      </w:r>
    </w:p>
    <w:p w14:paraId="020FFE03" w14:textId="7E7E75D2" w:rsidR="0054740D" w:rsidRPr="00FC3D7B" w:rsidRDefault="0054740D" w:rsidP="0054740D">
      <w:pPr>
        <w:spacing w:before="100" w:beforeAutospacing="1" w:after="100" w:afterAutospacing="1" w:line="240" w:lineRule="auto"/>
        <w:rPr>
          <w:rFonts w:ascii="Verdana" w:eastAsia="Times New Roman" w:hAnsi="Verdana" w:cs="Calibri"/>
          <w:lang w:eastAsia="en-AE"/>
        </w:rPr>
      </w:pPr>
      <w:r w:rsidRPr="0062003D">
        <w:rPr>
          <w:rFonts w:ascii="Verdana" w:eastAsia="Verdana" w:hAnsi="Verdana"/>
          <w:b/>
          <w:bCs/>
          <w:sz w:val="21"/>
        </w:rPr>
        <w:t>Sr. Governance, Risk Management, and Compliance (GRC) Analyst</w:t>
      </w:r>
      <w:r w:rsidR="0062003D">
        <w:rPr>
          <w:rFonts w:ascii="Verdana" w:eastAsia="Verdana" w:hAnsi="Verdana"/>
          <w:b/>
          <w:bCs/>
          <w:sz w:val="21"/>
        </w:rPr>
        <w:t xml:space="preserve"> - Remote</w:t>
      </w:r>
      <w:r w:rsidRPr="0062003D">
        <w:rPr>
          <w:rFonts w:ascii="Verdana" w:eastAsia="Verdana" w:hAnsi="Verdana"/>
          <w:b/>
          <w:bCs/>
          <w:sz w:val="21"/>
        </w:rPr>
        <w:br/>
        <w:t>PHOENIX Capital Inc</w:t>
      </w:r>
      <w:r>
        <w:rPr>
          <w:rFonts w:ascii="Verdana" w:eastAsia="Verdana" w:hAnsi="Verdana"/>
          <w:sz w:val="21"/>
        </w:rPr>
        <w:t>. (Mortgage Services), Denver, CO - 06/2021 - 07/2022</w:t>
      </w:r>
    </w:p>
    <w:p w14:paraId="3A9060F4" w14:textId="77777777" w:rsidR="00CE1920" w:rsidRPr="00FC3D7B" w:rsidRDefault="00CE1920" w:rsidP="0054740D">
      <w:pPr>
        <w:numPr>
          <w:ilvl w:val="0"/>
          <w:numId w:val="5"/>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 xml:space="preserve">Key Results: </w:t>
      </w:r>
      <w:r w:rsidR="00551E22" w:rsidRPr="00551E22">
        <w:rPr>
          <w:rFonts w:ascii="Verdana" w:eastAsia="Verdana" w:hAnsi="Verdana" w:cs="Calibri"/>
          <w:sz w:val="21"/>
          <w:lang w:eastAsia="en-AE"/>
        </w:rPr>
        <w:t>Delivered audit-ready documentation that resulted in zero control exceptions</w:t>
      </w:r>
      <w:r w:rsidR="00551E22">
        <w:rPr>
          <w:rFonts w:ascii="Verdana" w:eastAsia="Verdana" w:hAnsi="Verdana" w:cs="Calibri"/>
          <w:sz w:val="21"/>
          <w:lang w:eastAsia="en-AE"/>
        </w:rPr>
        <w:t xml:space="preserve"> </w:t>
      </w:r>
      <w:r w:rsidR="00D53E03" w:rsidRPr="00FC3D7B">
        <w:rPr>
          <w:rFonts w:ascii="Verdana" w:eastAsia="Verdana" w:hAnsi="Verdana" w:cs="Calibri"/>
          <w:sz w:val="21"/>
          <w:lang w:eastAsia="en-AE"/>
        </w:rPr>
        <w:t>by managing internal assessments and implementing corrective measures, leading to the successful completion of the organization's first SOC 1 Type II and SOC 2 Type II external audits.</w:t>
      </w:r>
    </w:p>
    <w:p w14:paraId="4FE43C65" w14:textId="77777777" w:rsidR="0054740D" w:rsidRPr="00FC3D7B" w:rsidRDefault="0054740D" w:rsidP="00E45200">
      <w:pPr>
        <w:numPr>
          <w:ilvl w:val="0"/>
          <w:numId w:val="5"/>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 xml:space="preserve">Developed </w:t>
      </w:r>
      <w:r w:rsidR="00D53E03" w:rsidRPr="00FC3D7B">
        <w:rPr>
          <w:rFonts w:ascii="Verdana" w:eastAsia="Verdana" w:hAnsi="Verdana" w:cs="Calibri"/>
          <w:sz w:val="21"/>
          <w:lang w:eastAsia="en-AE"/>
        </w:rPr>
        <w:t xml:space="preserve">comprehensive </w:t>
      </w:r>
      <w:r w:rsidR="00E45200" w:rsidRPr="00FC3D7B">
        <w:rPr>
          <w:rFonts w:ascii="Verdana" w:eastAsia="Verdana" w:hAnsi="Verdana" w:cs="Calibri"/>
          <w:sz w:val="21"/>
          <w:lang w:eastAsia="en-AE"/>
        </w:rPr>
        <w:t>company policies</w:t>
      </w:r>
      <w:r w:rsidR="00CE1920" w:rsidRPr="00FC3D7B">
        <w:rPr>
          <w:rFonts w:ascii="Verdana" w:eastAsia="Verdana" w:hAnsi="Verdana" w:cs="Calibri"/>
          <w:sz w:val="21"/>
          <w:lang w:eastAsia="en-AE"/>
        </w:rPr>
        <w:t xml:space="preserve"> </w:t>
      </w:r>
      <w:r w:rsidR="00E45200" w:rsidRPr="00FC3D7B">
        <w:rPr>
          <w:rFonts w:ascii="Verdana" w:eastAsia="Verdana" w:hAnsi="Verdana" w:cs="Calibri"/>
          <w:sz w:val="21"/>
          <w:lang w:eastAsia="en-AE"/>
        </w:rPr>
        <w:t>and managed company training</w:t>
      </w:r>
      <w:r w:rsidR="00E45200" w:rsidRPr="00FC3D7B">
        <w:rPr>
          <w:rFonts w:ascii="Verdana" w:eastAsia="Verdana" w:hAnsi="Verdana" w:cs="Calibri"/>
          <w:sz w:val="21"/>
        </w:rPr>
        <w:t xml:space="preserve"> </w:t>
      </w:r>
      <w:r w:rsidR="00E45200" w:rsidRPr="00FC3D7B">
        <w:rPr>
          <w:rFonts w:ascii="Verdana" w:eastAsia="Verdana" w:hAnsi="Verdana" w:cs="Calibri"/>
          <w:sz w:val="21"/>
          <w:lang w:eastAsia="en-AE"/>
        </w:rPr>
        <w:t>via KnowBe4</w:t>
      </w:r>
      <w:r w:rsidR="006E4B2B" w:rsidRPr="00FC3D7B">
        <w:rPr>
          <w:rFonts w:ascii="Verdana" w:eastAsia="Verdana" w:hAnsi="Verdana" w:cs="Calibri"/>
          <w:sz w:val="21"/>
          <w:lang w:eastAsia="en-AE"/>
        </w:rPr>
        <w:t>,</w:t>
      </w:r>
      <w:r w:rsidR="00E45200" w:rsidRPr="00FC3D7B">
        <w:rPr>
          <w:rFonts w:ascii="Verdana" w:eastAsia="Verdana" w:hAnsi="Verdana" w:cs="Calibri"/>
          <w:sz w:val="21"/>
          <w:lang w:eastAsia="en-AE"/>
        </w:rPr>
        <w:t xml:space="preserve"> ensur</w:t>
      </w:r>
      <w:r w:rsidR="006E4B2B" w:rsidRPr="00FC3D7B">
        <w:rPr>
          <w:rFonts w:ascii="Verdana" w:eastAsia="Verdana" w:hAnsi="Verdana" w:cs="Calibri"/>
          <w:sz w:val="21"/>
          <w:lang w:eastAsia="en-AE"/>
        </w:rPr>
        <w:t>ing</w:t>
      </w:r>
      <w:r w:rsidR="00E45200" w:rsidRPr="00FC3D7B">
        <w:rPr>
          <w:rFonts w:ascii="Verdana" w:eastAsia="Verdana" w:hAnsi="Verdana" w:cs="Calibri"/>
          <w:sz w:val="21"/>
          <w:lang w:eastAsia="en-AE"/>
        </w:rPr>
        <w:t xml:space="preserve"> compliance </w:t>
      </w:r>
      <w:r w:rsidRPr="00FC3D7B">
        <w:rPr>
          <w:rFonts w:ascii="Verdana" w:eastAsia="Verdana" w:hAnsi="Verdana" w:cs="Calibri"/>
          <w:sz w:val="21"/>
          <w:lang w:eastAsia="en-AE"/>
        </w:rPr>
        <w:t>for annual audit</w:t>
      </w:r>
      <w:r w:rsidR="006E4B2B" w:rsidRPr="00FC3D7B">
        <w:rPr>
          <w:rFonts w:ascii="Verdana" w:eastAsia="Verdana" w:hAnsi="Verdana" w:cs="Calibri"/>
          <w:sz w:val="21"/>
          <w:lang w:eastAsia="en-AE"/>
        </w:rPr>
        <w:t xml:space="preserve"> requirements</w:t>
      </w:r>
      <w:r w:rsidRPr="00FC3D7B">
        <w:rPr>
          <w:rFonts w:ascii="Verdana" w:eastAsia="Verdana" w:hAnsi="Verdana" w:cs="Calibri"/>
          <w:sz w:val="21"/>
          <w:lang w:eastAsia="en-AE"/>
        </w:rPr>
        <w:t>.</w:t>
      </w:r>
      <w:r w:rsidR="00E45200" w:rsidRPr="00FC3D7B">
        <w:rPr>
          <w:rFonts w:ascii="Verdana" w:eastAsia="Verdana" w:hAnsi="Verdana" w:cs="Calibri"/>
          <w:sz w:val="21"/>
        </w:rPr>
        <w:t xml:space="preserve"> </w:t>
      </w:r>
    </w:p>
    <w:p w14:paraId="01EDD1AD" w14:textId="327A2798" w:rsidR="00CE1920" w:rsidRPr="00FC3D7B" w:rsidRDefault="0054740D" w:rsidP="0054740D">
      <w:pPr>
        <w:numPr>
          <w:ilvl w:val="0"/>
          <w:numId w:val="5"/>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 xml:space="preserve">Created a </w:t>
      </w:r>
      <w:r w:rsidR="006E4B2B" w:rsidRPr="00FC3D7B">
        <w:rPr>
          <w:rFonts w:ascii="Verdana" w:eastAsia="Verdana" w:hAnsi="Verdana" w:cs="Calibri"/>
          <w:sz w:val="21"/>
          <w:lang w:eastAsia="en-AE"/>
        </w:rPr>
        <w:t>detailed r</w:t>
      </w:r>
      <w:r w:rsidRPr="00FC3D7B">
        <w:rPr>
          <w:rFonts w:ascii="Verdana" w:eastAsia="Verdana" w:hAnsi="Verdana" w:cs="Calibri"/>
          <w:sz w:val="21"/>
          <w:lang w:eastAsia="en-AE"/>
        </w:rPr>
        <w:t>oadmap for security compliance</w:t>
      </w:r>
      <w:r w:rsidR="006E4B2B" w:rsidRPr="00FC3D7B">
        <w:rPr>
          <w:rFonts w:ascii="Verdana" w:eastAsia="Verdana" w:hAnsi="Verdana" w:cs="Calibri"/>
          <w:sz w:val="21"/>
          <w:lang w:eastAsia="en-AE"/>
        </w:rPr>
        <w:t xml:space="preserve">, </w:t>
      </w:r>
      <w:r w:rsidR="00CE1920" w:rsidRPr="00FC3D7B">
        <w:rPr>
          <w:rFonts w:ascii="Verdana" w:eastAsia="Verdana" w:hAnsi="Verdana" w:cs="Calibri"/>
          <w:sz w:val="21"/>
          <w:lang w:eastAsia="en-AE"/>
        </w:rPr>
        <w:t>ensur</w:t>
      </w:r>
      <w:r w:rsidR="006E4B2B" w:rsidRPr="00FC3D7B">
        <w:rPr>
          <w:rFonts w:ascii="Verdana" w:eastAsia="Verdana" w:hAnsi="Verdana" w:cs="Calibri"/>
          <w:sz w:val="21"/>
          <w:lang w:eastAsia="en-AE"/>
        </w:rPr>
        <w:t>ing completion of</w:t>
      </w:r>
      <w:r w:rsidR="00CE1920" w:rsidRPr="00FC3D7B">
        <w:rPr>
          <w:rFonts w:ascii="Verdana" w:eastAsia="Verdana" w:hAnsi="Verdana" w:cs="Calibri"/>
          <w:sz w:val="21"/>
          <w:lang w:eastAsia="en-AE"/>
        </w:rPr>
        <w:t xml:space="preserve"> all audit items throughout the </w:t>
      </w:r>
      <w:r w:rsidR="00C46F81" w:rsidRPr="00FC3D7B">
        <w:rPr>
          <w:rFonts w:ascii="Verdana" w:eastAsia="Verdana" w:hAnsi="Verdana" w:cs="Calibri"/>
          <w:sz w:val="21"/>
          <w:lang w:eastAsia="en-AE"/>
        </w:rPr>
        <w:t>entire year</w:t>
      </w:r>
      <w:r w:rsidR="00CE1920" w:rsidRPr="00FC3D7B">
        <w:rPr>
          <w:rFonts w:ascii="Verdana" w:eastAsia="Verdana" w:hAnsi="Verdana" w:cs="Calibri"/>
          <w:sz w:val="21"/>
          <w:lang w:eastAsia="en-AE"/>
        </w:rPr>
        <w:t xml:space="preserve"> to meet audit timelines. </w:t>
      </w:r>
      <w:r w:rsidR="006D1A69" w:rsidRPr="00FC3D7B">
        <w:rPr>
          <w:rFonts w:ascii="Verdana" w:eastAsia="Verdana" w:hAnsi="Verdana" w:cs="Calibri"/>
          <w:sz w:val="21"/>
          <w:lang w:eastAsia="en-AE"/>
        </w:rPr>
        <w:t>O</w:t>
      </w:r>
      <w:r w:rsidR="003B677E" w:rsidRPr="00FC3D7B">
        <w:rPr>
          <w:rFonts w:ascii="Verdana" w:eastAsia="Verdana" w:hAnsi="Verdana" w:cs="Calibri"/>
          <w:sz w:val="21"/>
          <w:lang w:eastAsia="en-AE"/>
        </w:rPr>
        <w:t>btained evidence from AWS</w:t>
      </w:r>
      <w:r w:rsidR="006D1A69" w:rsidRPr="00FC3D7B">
        <w:rPr>
          <w:rFonts w:ascii="Verdana" w:eastAsia="Verdana" w:hAnsi="Verdana" w:cs="Calibri"/>
          <w:sz w:val="21"/>
          <w:lang w:eastAsia="en-AE"/>
        </w:rPr>
        <w:t xml:space="preserve"> environment </w:t>
      </w:r>
      <w:r w:rsidR="003B677E" w:rsidRPr="00FC3D7B">
        <w:rPr>
          <w:rFonts w:ascii="Verdana" w:eastAsia="Verdana" w:hAnsi="Verdana" w:cs="Calibri"/>
          <w:sz w:val="21"/>
          <w:lang w:eastAsia="en-AE"/>
        </w:rPr>
        <w:t>to support compliance.</w:t>
      </w:r>
    </w:p>
    <w:p w14:paraId="1B918B4E" w14:textId="560A3B9E" w:rsidR="00CE1920" w:rsidRPr="00FC3D7B" w:rsidRDefault="00A95CE3" w:rsidP="00CE1920">
      <w:pPr>
        <w:pStyle w:val="ListParagraph"/>
        <w:numPr>
          <w:ilvl w:val="0"/>
          <w:numId w:val="5"/>
        </w:numPr>
        <w:spacing w:before="100" w:beforeAutospacing="1" w:after="100" w:afterAutospacing="1" w:line="240" w:lineRule="auto"/>
        <w:rPr>
          <w:rFonts w:ascii="Verdana" w:eastAsia="Times New Roman" w:hAnsi="Verdana" w:cs="Calibri"/>
          <w:lang w:eastAsia="en-AE"/>
        </w:rPr>
      </w:pPr>
      <w:bookmarkStart w:id="2" w:name="_Hlk203549338"/>
      <w:r>
        <w:rPr>
          <w:rFonts w:ascii="Verdana" w:eastAsia="Verdana" w:hAnsi="Verdana" w:cs="Calibri"/>
          <w:sz w:val="21"/>
          <w:lang w:eastAsia="en-AE"/>
        </w:rPr>
        <w:t xml:space="preserve">Process improvement. </w:t>
      </w:r>
      <w:r w:rsidR="00CE1920" w:rsidRPr="00FC3D7B">
        <w:rPr>
          <w:rFonts w:ascii="Verdana" w:eastAsia="Verdana" w:hAnsi="Verdana" w:cs="Calibri"/>
          <w:sz w:val="21"/>
          <w:lang w:eastAsia="en-AE"/>
        </w:rPr>
        <w:t>Implemented and managed a</w:t>
      </w:r>
      <w:r w:rsidR="006E4B2B" w:rsidRPr="00FC3D7B">
        <w:rPr>
          <w:rFonts w:ascii="Verdana" w:eastAsia="Verdana" w:hAnsi="Verdana" w:cs="Calibri"/>
          <w:sz w:val="21"/>
          <w:lang w:eastAsia="en-AE"/>
        </w:rPr>
        <w:t>n effective</w:t>
      </w:r>
      <w:r w:rsidR="00CE1920" w:rsidRPr="00FC3D7B">
        <w:rPr>
          <w:rFonts w:ascii="Verdana" w:eastAsia="Verdana" w:hAnsi="Verdana" w:cs="Calibri"/>
          <w:sz w:val="21"/>
          <w:lang w:eastAsia="en-AE"/>
        </w:rPr>
        <w:t xml:space="preserve"> program to </w:t>
      </w:r>
      <w:r w:rsidR="00037409" w:rsidRPr="00FC3D7B">
        <w:rPr>
          <w:rFonts w:ascii="Verdana" w:eastAsia="Verdana" w:hAnsi="Verdana" w:cs="Calibri"/>
          <w:sz w:val="21"/>
          <w:lang w:eastAsia="en-AE"/>
        </w:rPr>
        <w:t xml:space="preserve">answer, </w:t>
      </w:r>
      <w:r w:rsidR="00C46F81" w:rsidRPr="00FC3D7B">
        <w:rPr>
          <w:rFonts w:ascii="Verdana" w:eastAsia="Verdana" w:hAnsi="Verdana" w:cs="Calibri"/>
          <w:sz w:val="21"/>
          <w:lang w:eastAsia="en-AE"/>
        </w:rPr>
        <w:t>track,</w:t>
      </w:r>
      <w:r w:rsidR="00CE1920" w:rsidRPr="00FC3D7B">
        <w:rPr>
          <w:rFonts w:ascii="Verdana" w:eastAsia="Verdana" w:hAnsi="Verdana" w:cs="Calibri"/>
          <w:sz w:val="21"/>
          <w:lang w:eastAsia="en-AE"/>
        </w:rPr>
        <w:t xml:space="preserve"> and document the request for information </w:t>
      </w:r>
      <w:r w:rsidR="00724BEF">
        <w:rPr>
          <w:rFonts w:ascii="Verdana" w:eastAsia="Verdana" w:hAnsi="Verdana" w:cs="Calibri"/>
          <w:sz w:val="21"/>
          <w:lang w:eastAsia="en-AE"/>
        </w:rPr>
        <w:t>-</w:t>
      </w:r>
      <w:r w:rsidR="00CE1920" w:rsidRPr="00FC3D7B">
        <w:rPr>
          <w:rFonts w:ascii="Verdana" w:eastAsia="Verdana" w:hAnsi="Verdana" w:cs="Calibri"/>
          <w:sz w:val="21"/>
          <w:lang w:eastAsia="en-AE"/>
        </w:rPr>
        <w:t xml:space="preserve"> RFI</w:t>
      </w:r>
      <w:r w:rsidR="00037409" w:rsidRPr="00FC3D7B">
        <w:rPr>
          <w:rFonts w:ascii="Verdana" w:eastAsia="Verdana" w:hAnsi="Verdana" w:cs="Calibri"/>
          <w:sz w:val="21"/>
          <w:lang w:eastAsia="en-AE"/>
        </w:rPr>
        <w:t xml:space="preserve"> RFP</w:t>
      </w:r>
      <w:r w:rsidR="00CE1920" w:rsidRPr="00FC3D7B">
        <w:rPr>
          <w:rFonts w:ascii="Verdana" w:eastAsia="Verdana" w:hAnsi="Verdana" w:cs="Calibri"/>
          <w:sz w:val="21"/>
          <w:lang w:eastAsia="en-AE"/>
        </w:rPr>
        <w:t>.</w:t>
      </w:r>
    </w:p>
    <w:bookmarkEnd w:id="2"/>
    <w:p w14:paraId="3999DE52" w14:textId="77777777" w:rsidR="00CE1920" w:rsidRPr="00FC3D7B" w:rsidRDefault="00CE1920" w:rsidP="00CE1920">
      <w:pPr>
        <w:pStyle w:val="ListParagraph"/>
        <w:numPr>
          <w:ilvl w:val="0"/>
          <w:numId w:val="5"/>
        </w:numPr>
        <w:rPr>
          <w:rFonts w:ascii="Verdana" w:eastAsia="Times New Roman" w:hAnsi="Verdana" w:cs="Calibri"/>
          <w:lang w:eastAsia="en-AE"/>
        </w:rPr>
      </w:pPr>
      <w:r>
        <w:rPr>
          <w:rFonts w:ascii="Verdana" w:eastAsia="Verdana" w:hAnsi="Verdana"/>
          <w:sz w:val="21"/>
        </w:rPr>
        <w:t>Developed, implemented, and managed a more robust security and vendor Risk Management tracking systems and review thereof to track progress on risk remediation projects across IT and business units with IT and other business units.</w:t>
      </w:r>
    </w:p>
    <w:p w14:paraId="5EF2B5FF" w14:textId="77777777" w:rsidR="00426B51" w:rsidRPr="00FC3D7B" w:rsidRDefault="00426B51" w:rsidP="00426B51">
      <w:pPr>
        <w:pStyle w:val="ListParagraph"/>
        <w:numPr>
          <w:ilvl w:val="0"/>
          <w:numId w:val="5"/>
        </w:numPr>
        <w:rPr>
          <w:rFonts w:ascii="Verdana" w:eastAsia="Times New Roman" w:hAnsi="Verdana" w:cs="Calibri"/>
          <w:lang w:eastAsia="en-AE"/>
        </w:rPr>
      </w:pPr>
      <w:r w:rsidRPr="00FC3D7B">
        <w:rPr>
          <w:rFonts w:ascii="Verdana" w:eastAsia="Verdana" w:hAnsi="Verdana" w:cs="Calibri"/>
          <w:sz w:val="21"/>
          <w:lang w:eastAsia="en-AE"/>
        </w:rPr>
        <w:t xml:space="preserve">Implemented and managed a more thorough TPRM program to identify significant vendors. Developed a focused Vendor Assessment Questionnaire for vendors without </w:t>
      </w:r>
      <w:r w:rsidR="006E4B2B" w:rsidRPr="00FC3D7B">
        <w:rPr>
          <w:rFonts w:ascii="Verdana" w:eastAsia="Verdana" w:hAnsi="Verdana" w:cs="Calibri"/>
          <w:sz w:val="21"/>
          <w:lang w:eastAsia="en-AE"/>
        </w:rPr>
        <w:t xml:space="preserve">established </w:t>
      </w:r>
      <w:r w:rsidRPr="00FC3D7B">
        <w:rPr>
          <w:rFonts w:ascii="Verdana" w:eastAsia="Verdana" w:hAnsi="Verdana" w:cs="Calibri"/>
          <w:sz w:val="21"/>
          <w:lang w:eastAsia="en-AE"/>
        </w:rPr>
        <w:t>compliance standards in place.</w:t>
      </w:r>
    </w:p>
    <w:p w14:paraId="203CD90C" w14:textId="062CC497" w:rsidR="0054740D" w:rsidRPr="00FC3D7B" w:rsidRDefault="00163013" w:rsidP="0054740D">
      <w:p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b/>
          <w:bCs/>
          <w:sz w:val="21"/>
          <w:lang w:eastAsia="en-AE"/>
        </w:rPr>
        <w:t xml:space="preserve">Sr. </w:t>
      </w:r>
      <w:r w:rsidR="0054740D" w:rsidRPr="00FC3D7B">
        <w:rPr>
          <w:rFonts w:ascii="Verdana" w:eastAsia="Verdana" w:hAnsi="Verdana" w:cs="Calibri"/>
          <w:b/>
          <w:bCs/>
          <w:sz w:val="21"/>
          <w:lang w:eastAsia="en-AE"/>
        </w:rPr>
        <w:t xml:space="preserve">Security </w:t>
      </w:r>
      <w:r w:rsidRPr="00FC3D7B">
        <w:rPr>
          <w:rFonts w:ascii="Verdana" w:eastAsia="Verdana" w:hAnsi="Verdana" w:cs="Calibri"/>
          <w:b/>
          <w:bCs/>
          <w:sz w:val="21"/>
          <w:lang w:eastAsia="en-AE"/>
        </w:rPr>
        <w:t>Analyst</w:t>
      </w:r>
      <w:r w:rsidR="0054740D" w:rsidRPr="00FC3D7B">
        <w:rPr>
          <w:rFonts w:ascii="Verdana" w:eastAsia="Verdana" w:hAnsi="Verdana" w:cs="Calibri"/>
          <w:b/>
          <w:bCs/>
          <w:sz w:val="21"/>
          <w:lang w:eastAsia="en-AE"/>
        </w:rPr>
        <w:t xml:space="preserve"> GRC Cloud Compliance and Auditing</w:t>
      </w:r>
      <w:r w:rsidR="0062003D">
        <w:rPr>
          <w:rFonts w:ascii="Verdana" w:eastAsia="Verdana" w:hAnsi="Verdana" w:cs="Calibri"/>
          <w:b/>
          <w:bCs/>
          <w:sz w:val="21"/>
          <w:lang w:eastAsia="en-AE"/>
        </w:rPr>
        <w:t xml:space="preserve"> - Remote</w:t>
      </w:r>
      <w:r w:rsidR="0054740D" w:rsidRPr="00FC3D7B">
        <w:rPr>
          <w:rFonts w:ascii="Verdana" w:eastAsia="Verdana" w:hAnsi="Verdana" w:cs="Calibri"/>
          <w:sz w:val="21"/>
          <w:lang w:eastAsia="en-AE"/>
        </w:rPr>
        <w:br/>
      </w:r>
      <w:r w:rsidR="0054740D" w:rsidRPr="00FC3D7B">
        <w:rPr>
          <w:rFonts w:ascii="Verdana" w:eastAsia="Verdana" w:hAnsi="Verdana" w:cs="Calibri"/>
          <w:b/>
          <w:bCs/>
          <w:sz w:val="21"/>
          <w:lang w:eastAsia="en-AE"/>
        </w:rPr>
        <w:t xml:space="preserve">Deltek Inc. </w:t>
      </w:r>
      <w:r w:rsidR="0054740D" w:rsidRPr="0062003D">
        <w:rPr>
          <w:rFonts w:ascii="Verdana" w:eastAsia="Verdana" w:hAnsi="Verdana" w:cs="Calibri"/>
          <w:sz w:val="21"/>
          <w:lang w:eastAsia="en-AE"/>
        </w:rPr>
        <w:t>(Enterprise SaaS Solutions</w:t>
      </w:r>
      <w:r w:rsidR="0054740D" w:rsidRPr="00FC3D7B">
        <w:rPr>
          <w:rFonts w:ascii="Verdana" w:eastAsia="Verdana" w:hAnsi="Verdana" w:cs="Calibri"/>
          <w:b/>
          <w:bCs/>
          <w:sz w:val="21"/>
          <w:lang w:eastAsia="en-AE"/>
        </w:rPr>
        <w:t>)</w:t>
      </w:r>
      <w:r w:rsidR="0054740D" w:rsidRPr="00FC3D7B">
        <w:rPr>
          <w:rFonts w:ascii="Verdana" w:eastAsia="Verdana" w:hAnsi="Verdana" w:cs="Calibri"/>
          <w:sz w:val="21"/>
          <w:lang w:eastAsia="en-AE"/>
        </w:rPr>
        <w:t xml:space="preserve">, Herndon, VA </w:t>
      </w:r>
      <w:r w:rsidR="00724BEF">
        <w:rPr>
          <w:rFonts w:ascii="Verdana" w:eastAsia="Verdana" w:hAnsi="Verdana" w:cs="Calibri"/>
          <w:sz w:val="21"/>
          <w:lang w:eastAsia="en-AE"/>
        </w:rPr>
        <w:t>-</w:t>
      </w:r>
      <w:r w:rsidR="0054740D" w:rsidRPr="00FC3D7B">
        <w:rPr>
          <w:rFonts w:ascii="Verdana" w:eastAsia="Verdana" w:hAnsi="Verdana" w:cs="Calibri"/>
          <w:sz w:val="21"/>
          <w:lang w:eastAsia="en-AE"/>
        </w:rPr>
        <w:t xml:space="preserve"> 06/2018 - 06/2021</w:t>
      </w:r>
    </w:p>
    <w:p w14:paraId="595F59EE" w14:textId="77777777" w:rsidR="00055C87" w:rsidRPr="00FC3D7B" w:rsidRDefault="00055C87" w:rsidP="00055C87">
      <w:pPr>
        <w:numPr>
          <w:ilvl w:val="0"/>
          <w:numId w:val="6"/>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 xml:space="preserve">Key Results: </w:t>
      </w:r>
      <w:r w:rsidR="006E4B2B" w:rsidRPr="00FC3D7B">
        <w:rPr>
          <w:rFonts w:ascii="Verdana" w:eastAsia="Verdana" w:hAnsi="Verdana" w:cs="Calibri"/>
          <w:sz w:val="21"/>
          <w:lang w:eastAsia="en-AE"/>
        </w:rPr>
        <w:t>R</w:t>
      </w:r>
      <w:r w:rsidR="003B230E" w:rsidRPr="00FC3D7B">
        <w:rPr>
          <w:rFonts w:ascii="Verdana" w:eastAsia="Verdana" w:hAnsi="Verdana" w:cs="Calibri"/>
          <w:sz w:val="21"/>
          <w:lang w:eastAsia="en-AE"/>
        </w:rPr>
        <w:t>educed privileged access account usage by over 30% through continuous monitoring</w:t>
      </w:r>
      <w:r w:rsidR="006E4B2B" w:rsidRPr="00FC3D7B">
        <w:rPr>
          <w:rFonts w:ascii="Verdana" w:eastAsia="Verdana" w:hAnsi="Verdana" w:cs="Calibri"/>
          <w:sz w:val="21"/>
          <w:lang w:eastAsia="en-AE"/>
        </w:rPr>
        <w:t>, regularly</w:t>
      </w:r>
      <w:r w:rsidR="003B230E" w:rsidRPr="00FC3D7B">
        <w:rPr>
          <w:rFonts w:ascii="Verdana" w:eastAsia="Verdana" w:hAnsi="Verdana" w:cs="Calibri"/>
          <w:sz w:val="21"/>
          <w:lang w:eastAsia="en-AE"/>
        </w:rPr>
        <w:t xml:space="preserve"> exceed</w:t>
      </w:r>
      <w:r w:rsidR="006E4B2B" w:rsidRPr="00FC3D7B">
        <w:rPr>
          <w:rFonts w:ascii="Verdana" w:eastAsia="Verdana" w:hAnsi="Verdana" w:cs="Calibri"/>
          <w:sz w:val="21"/>
          <w:lang w:eastAsia="en-AE"/>
        </w:rPr>
        <w:t>ing</w:t>
      </w:r>
      <w:r w:rsidR="003B230E" w:rsidRPr="00FC3D7B">
        <w:rPr>
          <w:rFonts w:ascii="Verdana" w:eastAsia="Verdana" w:hAnsi="Verdana" w:cs="Calibri"/>
          <w:sz w:val="21"/>
          <w:lang w:eastAsia="en-AE"/>
        </w:rPr>
        <w:t xml:space="preserve"> expectations by completing scheduled timelines ahead of schedule for rolling SOC 2 audits.</w:t>
      </w:r>
      <w:r w:rsidRPr="00FC3D7B">
        <w:rPr>
          <w:rFonts w:ascii="Verdana" w:eastAsia="Verdana" w:hAnsi="Verdana" w:cs="Calibri"/>
          <w:sz w:val="21"/>
          <w:lang w:eastAsia="en-AE"/>
        </w:rPr>
        <w:t xml:space="preserve"> </w:t>
      </w:r>
      <w:r w:rsidR="003B230E" w:rsidRPr="00FC3D7B">
        <w:rPr>
          <w:rFonts w:ascii="Verdana" w:eastAsia="Verdana" w:hAnsi="Verdana" w:cs="Calibri"/>
          <w:sz w:val="21"/>
          <w:lang w:eastAsia="en-AE"/>
        </w:rPr>
        <w:t>D</w:t>
      </w:r>
      <w:r w:rsidRPr="00FC3D7B">
        <w:rPr>
          <w:rFonts w:ascii="Verdana" w:eastAsia="Verdana" w:hAnsi="Verdana" w:cs="Calibri"/>
          <w:sz w:val="21"/>
          <w:lang w:eastAsia="en-AE"/>
        </w:rPr>
        <w:t xml:space="preserve">eveloped a </w:t>
      </w:r>
      <w:r w:rsidR="006E4B2B" w:rsidRPr="00FC3D7B">
        <w:rPr>
          <w:rFonts w:ascii="Verdana" w:eastAsia="Verdana" w:hAnsi="Verdana" w:cs="Calibri"/>
          <w:sz w:val="21"/>
          <w:lang w:eastAsia="en-AE"/>
        </w:rPr>
        <w:t xml:space="preserve">roadmap </w:t>
      </w:r>
      <w:r w:rsidRPr="00FC3D7B">
        <w:rPr>
          <w:rFonts w:ascii="Verdana" w:eastAsia="Verdana" w:hAnsi="Verdana" w:cs="Calibri"/>
          <w:sz w:val="21"/>
          <w:lang w:eastAsia="en-AE"/>
        </w:rPr>
        <w:t>plan to meet Deltek’s first NIST assessment</w:t>
      </w:r>
      <w:r w:rsidR="00255A8A" w:rsidRPr="00FC3D7B">
        <w:rPr>
          <w:rFonts w:ascii="Verdana" w:eastAsia="Verdana" w:hAnsi="Verdana" w:cs="Calibri"/>
          <w:sz w:val="21"/>
          <w:lang w:eastAsia="en-AE"/>
        </w:rPr>
        <w:t>.</w:t>
      </w:r>
    </w:p>
    <w:p w14:paraId="3A09DE9F" w14:textId="77777777" w:rsidR="0054740D" w:rsidRPr="00FC3D7B" w:rsidRDefault="006E4B2B" w:rsidP="00055C87">
      <w:pPr>
        <w:numPr>
          <w:ilvl w:val="0"/>
          <w:numId w:val="6"/>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Led a</w:t>
      </w:r>
      <w:r w:rsidR="008E30B3" w:rsidRPr="00FC3D7B">
        <w:rPr>
          <w:rFonts w:ascii="Verdana" w:eastAsia="Verdana" w:hAnsi="Verdana" w:cs="Calibri"/>
          <w:sz w:val="21"/>
          <w:lang w:eastAsia="en-AE"/>
        </w:rPr>
        <w:t xml:space="preserve"> GRC team</w:t>
      </w:r>
      <w:r w:rsidRPr="00FC3D7B">
        <w:rPr>
          <w:rFonts w:ascii="Verdana" w:eastAsia="Verdana" w:hAnsi="Verdana" w:cs="Calibri"/>
          <w:sz w:val="21"/>
          <w:lang w:eastAsia="en-AE"/>
        </w:rPr>
        <w:t xml:space="preserve">, </w:t>
      </w:r>
      <w:r w:rsidR="0054740D" w:rsidRPr="00FC3D7B">
        <w:rPr>
          <w:rFonts w:ascii="Verdana" w:eastAsia="Verdana" w:hAnsi="Verdana" w:cs="Calibri"/>
          <w:sz w:val="21"/>
          <w:lang w:eastAsia="en-AE"/>
        </w:rPr>
        <w:t>overs</w:t>
      </w:r>
      <w:r w:rsidRPr="00FC3D7B">
        <w:rPr>
          <w:rFonts w:ascii="Verdana" w:eastAsia="Verdana" w:hAnsi="Verdana" w:cs="Calibri"/>
          <w:sz w:val="21"/>
          <w:lang w:eastAsia="en-AE"/>
        </w:rPr>
        <w:t xml:space="preserve">eeing and fulfilling </w:t>
      </w:r>
      <w:r w:rsidR="0054740D" w:rsidRPr="00FC3D7B">
        <w:rPr>
          <w:rFonts w:ascii="Verdana" w:eastAsia="Verdana" w:hAnsi="Verdana" w:cs="Calibri"/>
          <w:sz w:val="21"/>
          <w:lang w:eastAsia="en-AE"/>
        </w:rPr>
        <w:t xml:space="preserve">external IT </w:t>
      </w:r>
      <w:r w:rsidR="00EE013B" w:rsidRPr="00FC3D7B">
        <w:rPr>
          <w:rFonts w:ascii="Verdana" w:eastAsia="Verdana" w:hAnsi="Verdana" w:cs="Calibri"/>
          <w:sz w:val="21"/>
          <w:lang w:eastAsia="en-AE"/>
        </w:rPr>
        <w:t xml:space="preserve">audit requests </w:t>
      </w:r>
      <w:r w:rsidRPr="00FC3D7B">
        <w:rPr>
          <w:rFonts w:ascii="Verdana" w:eastAsia="Verdana" w:hAnsi="Verdana" w:cs="Calibri"/>
          <w:sz w:val="21"/>
          <w:lang w:eastAsia="en-AE"/>
        </w:rPr>
        <w:t>by</w:t>
      </w:r>
      <w:r w:rsidR="00EE013B" w:rsidRPr="00FC3D7B">
        <w:rPr>
          <w:rFonts w:ascii="Verdana" w:eastAsia="Verdana" w:hAnsi="Verdana" w:cs="Calibri"/>
          <w:sz w:val="21"/>
          <w:lang w:eastAsia="en-AE"/>
        </w:rPr>
        <w:t xml:space="preserve"> providing compliance security evidence for the multiple AWS and Azure Cloud ERP SaaS products.</w:t>
      </w:r>
    </w:p>
    <w:p w14:paraId="27AE4777" w14:textId="77777777" w:rsidR="00F27CDB" w:rsidRPr="00FC3D7B" w:rsidRDefault="006E4B2B" w:rsidP="0054740D">
      <w:pPr>
        <w:numPr>
          <w:ilvl w:val="0"/>
          <w:numId w:val="6"/>
        </w:numPr>
        <w:spacing w:before="100" w:beforeAutospacing="1" w:after="100" w:afterAutospacing="1" w:line="240" w:lineRule="auto"/>
        <w:rPr>
          <w:rFonts w:ascii="Verdana" w:eastAsia="Times New Roman" w:hAnsi="Verdana" w:cs="Calibri"/>
          <w:lang w:eastAsia="en-AE"/>
        </w:rPr>
      </w:pPr>
      <w:r>
        <w:rPr>
          <w:rFonts w:ascii="Verdana" w:eastAsia="Verdana" w:hAnsi="Verdana"/>
          <w:sz w:val="21"/>
        </w:rPr>
        <w:t xml:space="preserve">Served as the Cloud Security Program Project Manager, delivering IT, operational, and security compliance evidence for SSAE SOC 1 Type II, SOC 2 Type II, SOC 3 rolling audits for SaaS products on cloud platforms of AWS, Azure and Equinix utilizing Salesforce. </w:t>
      </w:r>
    </w:p>
    <w:p w14:paraId="63F86191" w14:textId="4EC3F066" w:rsidR="00426B51" w:rsidRPr="00FC3D7B" w:rsidRDefault="00426B51" w:rsidP="0054740D">
      <w:pPr>
        <w:numPr>
          <w:ilvl w:val="0"/>
          <w:numId w:val="6"/>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 xml:space="preserve">Oversaw and managed obtaining the required evidence, reviewing, and </w:t>
      </w:r>
      <w:r w:rsidR="00C46F81" w:rsidRPr="00FC3D7B">
        <w:rPr>
          <w:rFonts w:ascii="Verdana" w:eastAsia="Verdana" w:hAnsi="Verdana" w:cs="Calibri"/>
          <w:sz w:val="21"/>
          <w:lang w:eastAsia="en-AE"/>
        </w:rPr>
        <w:t>collaborating</w:t>
      </w:r>
      <w:r w:rsidRPr="00FC3D7B">
        <w:rPr>
          <w:rFonts w:ascii="Verdana" w:eastAsia="Verdana" w:hAnsi="Verdana" w:cs="Calibri"/>
          <w:sz w:val="21"/>
          <w:lang w:eastAsia="en-AE"/>
        </w:rPr>
        <w:t xml:space="preserve"> with internal teams to provide audit evidence and deliver to Auditors.</w:t>
      </w:r>
    </w:p>
    <w:p w14:paraId="4AC3E080" w14:textId="77777777" w:rsidR="00627F7D" w:rsidRPr="00FC3D7B" w:rsidRDefault="00627F7D" w:rsidP="00627F7D">
      <w:pPr>
        <w:pStyle w:val="ListParagraph"/>
        <w:numPr>
          <w:ilvl w:val="0"/>
          <w:numId w:val="6"/>
        </w:numPr>
        <w:spacing w:after="0"/>
        <w:rPr>
          <w:rFonts w:ascii="Verdana" w:eastAsia="Times New Roman" w:hAnsi="Verdana" w:cs="Calibri"/>
          <w:lang w:eastAsia="en-AE"/>
        </w:rPr>
      </w:pPr>
      <w:r w:rsidRPr="00FC3D7B">
        <w:rPr>
          <w:rFonts w:ascii="Verdana" w:eastAsia="Verdana" w:hAnsi="Verdana" w:cs="Calibri"/>
          <w:sz w:val="21"/>
          <w:lang w:eastAsia="en-AE"/>
        </w:rPr>
        <w:t>Conducted monthly and quarterly internal security assessments</w:t>
      </w:r>
      <w:r w:rsidR="006E4B2B" w:rsidRPr="00FC3D7B">
        <w:rPr>
          <w:rFonts w:ascii="Verdana" w:eastAsia="Verdana" w:hAnsi="Verdana" w:cs="Calibri"/>
          <w:sz w:val="21"/>
          <w:lang w:eastAsia="en-AE"/>
        </w:rPr>
        <w:t>,</w:t>
      </w:r>
      <w:r w:rsidRPr="00FC3D7B">
        <w:rPr>
          <w:rFonts w:ascii="Verdana" w:eastAsia="Verdana" w:hAnsi="Verdana" w:cs="Calibri"/>
          <w:sz w:val="21"/>
          <w:lang w:eastAsia="en-AE"/>
        </w:rPr>
        <w:t xml:space="preserve"> ensur</w:t>
      </w:r>
      <w:r w:rsidR="006E4B2B" w:rsidRPr="00FC3D7B">
        <w:rPr>
          <w:rFonts w:ascii="Verdana" w:eastAsia="Verdana" w:hAnsi="Verdana" w:cs="Calibri"/>
          <w:sz w:val="21"/>
          <w:lang w:eastAsia="en-AE"/>
        </w:rPr>
        <w:t>ing</w:t>
      </w:r>
      <w:r w:rsidRPr="00FC3D7B">
        <w:rPr>
          <w:rFonts w:ascii="Verdana" w:eastAsia="Verdana" w:hAnsi="Verdana" w:cs="Calibri"/>
          <w:sz w:val="21"/>
          <w:lang w:eastAsia="en-AE"/>
        </w:rPr>
        <w:t xml:space="preserve"> systems </w:t>
      </w:r>
      <w:r w:rsidR="006E4B2B" w:rsidRPr="00FC3D7B">
        <w:rPr>
          <w:rFonts w:ascii="Verdana" w:eastAsia="Verdana" w:hAnsi="Verdana" w:cs="Calibri"/>
          <w:sz w:val="21"/>
          <w:lang w:eastAsia="en-AE"/>
        </w:rPr>
        <w:t>adhered to internal security policies and practices.</w:t>
      </w:r>
      <w:r w:rsidRPr="00FC3D7B">
        <w:rPr>
          <w:rFonts w:ascii="Verdana" w:eastAsia="Verdana" w:hAnsi="Verdana" w:cs="Calibri"/>
          <w:sz w:val="21"/>
          <w:lang w:eastAsia="en-AE"/>
        </w:rPr>
        <w:t xml:space="preserve"> </w:t>
      </w:r>
    </w:p>
    <w:p w14:paraId="57886CC2" w14:textId="77777777" w:rsidR="00C35D01" w:rsidRPr="00FC3D7B" w:rsidRDefault="006E4B2B" w:rsidP="0051435C">
      <w:pPr>
        <w:numPr>
          <w:ilvl w:val="0"/>
          <w:numId w:val="6"/>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lastRenderedPageBreak/>
        <w:t>Executed</w:t>
      </w:r>
      <w:r w:rsidR="0054740D" w:rsidRPr="00FC3D7B">
        <w:rPr>
          <w:rFonts w:ascii="Verdana" w:eastAsia="Verdana" w:hAnsi="Verdana" w:cs="Calibri"/>
          <w:sz w:val="21"/>
          <w:lang w:eastAsia="en-AE"/>
        </w:rPr>
        <w:t xml:space="preserve"> Third Party Vendor Risk Management assessments</w:t>
      </w:r>
      <w:r w:rsidRPr="00FC3D7B">
        <w:rPr>
          <w:rFonts w:ascii="Verdana" w:eastAsia="Verdana" w:hAnsi="Verdana" w:cs="Calibri"/>
          <w:sz w:val="21"/>
          <w:lang w:eastAsia="en-AE"/>
        </w:rPr>
        <w:t>, addressing</w:t>
      </w:r>
      <w:r w:rsidR="0054740D" w:rsidRPr="00FC3D7B">
        <w:rPr>
          <w:rFonts w:ascii="Verdana" w:eastAsia="Verdana" w:hAnsi="Verdana" w:cs="Calibri"/>
          <w:sz w:val="21"/>
          <w:lang w:eastAsia="en-AE"/>
        </w:rPr>
        <w:t xml:space="preserve"> and respond</w:t>
      </w:r>
      <w:r w:rsidRPr="00FC3D7B">
        <w:rPr>
          <w:rFonts w:ascii="Verdana" w:eastAsia="Verdana" w:hAnsi="Verdana" w:cs="Calibri"/>
          <w:sz w:val="21"/>
          <w:lang w:eastAsia="en-AE"/>
        </w:rPr>
        <w:t>ing</w:t>
      </w:r>
      <w:r w:rsidR="0054740D" w:rsidRPr="00FC3D7B">
        <w:rPr>
          <w:rFonts w:ascii="Verdana" w:eastAsia="Verdana" w:hAnsi="Verdana" w:cs="Calibri"/>
          <w:sz w:val="21"/>
          <w:lang w:eastAsia="en-AE"/>
        </w:rPr>
        <w:t xml:space="preserve"> to security assessments</w:t>
      </w:r>
      <w:r w:rsidRPr="00FC3D7B">
        <w:rPr>
          <w:rFonts w:ascii="Verdana" w:eastAsia="Verdana" w:hAnsi="Verdana" w:cs="Calibri"/>
          <w:sz w:val="21"/>
          <w:lang w:eastAsia="en-AE"/>
        </w:rPr>
        <w:t xml:space="preserve"> effectively</w:t>
      </w:r>
      <w:r w:rsidR="0054740D" w:rsidRPr="00FC3D7B">
        <w:rPr>
          <w:rFonts w:ascii="Verdana" w:eastAsia="Verdana" w:hAnsi="Verdana" w:cs="Calibri"/>
          <w:sz w:val="21"/>
          <w:lang w:eastAsia="en-AE"/>
        </w:rPr>
        <w:t>.</w:t>
      </w:r>
    </w:p>
    <w:p w14:paraId="27C13BA6" w14:textId="77777777" w:rsidR="0054740D" w:rsidRPr="00FC3D7B" w:rsidRDefault="007000A2" w:rsidP="0054740D">
      <w:pPr>
        <w:spacing w:before="100" w:beforeAutospacing="1" w:after="100" w:afterAutospacing="1" w:line="240" w:lineRule="auto"/>
        <w:rPr>
          <w:rFonts w:ascii="Verdana" w:eastAsia="Times New Roman" w:hAnsi="Verdana" w:cs="Calibri"/>
          <w:lang w:eastAsia="en-AE"/>
        </w:rPr>
      </w:pPr>
      <w:r w:rsidRPr="007000A2">
        <w:rPr>
          <w:rFonts w:ascii="Verdana" w:eastAsia="Verdana" w:hAnsi="Verdana" w:cs="Calibri"/>
          <w:b/>
          <w:bCs/>
          <w:sz w:val="21"/>
          <w:lang w:eastAsia="en-AE"/>
        </w:rPr>
        <w:t>Independent GRC Consultant (Contract)</w:t>
      </w:r>
      <w:r w:rsidR="0054740D" w:rsidRPr="00FC3D7B">
        <w:rPr>
          <w:rFonts w:ascii="Verdana" w:eastAsia="Verdana" w:hAnsi="Verdana" w:cs="Calibri"/>
          <w:sz w:val="21"/>
          <w:lang w:eastAsia="en-AE"/>
        </w:rPr>
        <w:br/>
      </w:r>
      <w:r w:rsidR="0054740D" w:rsidRPr="00FC3D7B">
        <w:rPr>
          <w:rFonts w:ascii="Verdana" w:eastAsia="Verdana" w:hAnsi="Verdana" w:cs="Calibri"/>
          <w:b/>
          <w:bCs/>
          <w:sz w:val="21"/>
          <w:lang w:eastAsia="en-AE"/>
        </w:rPr>
        <w:t>Multiple Assignments</w:t>
      </w:r>
      <w:r w:rsidR="0054740D" w:rsidRPr="00FC3D7B">
        <w:rPr>
          <w:rFonts w:ascii="Verdana" w:eastAsia="Verdana" w:hAnsi="Verdana" w:cs="Calibri"/>
          <w:sz w:val="21"/>
          <w:lang w:eastAsia="en-AE"/>
        </w:rPr>
        <w:t xml:space="preserve"> </w:t>
      </w:r>
      <w:r w:rsidR="00724BEF">
        <w:rPr>
          <w:rFonts w:ascii="Verdana" w:eastAsia="Verdana" w:hAnsi="Verdana" w:cs="Calibri"/>
          <w:sz w:val="21"/>
          <w:lang w:eastAsia="en-AE"/>
        </w:rPr>
        <w:t>-</w:t>
      </w:r>
      <w:r w:rsidR="0054740D" w:rsidRPr="00FC3D7B">
        <w:rPr>
          <w:rFonts w:ascii="Verdana" w:eastAsia="Verdana" w:hAnsi="Verdana" w:cs="Calibri"/>
          <w:sz w:val="21"/>
          <w:lang w:eastAsia="en-AE"/>
        </w:rPr>
        <w:t xml:space="preserve"> 06/2007 - 06/2018</w:t>
      </w:r>
    </w:p>
    <w:p w14:paraId="3B1A1BBB" w14:textId="77777777" w:rsidR="00B7104B" w:rsidRPr="00FC3D7B" w:rsidRDefault="00B7104B" w:rsidP="006F38C9">
      <w:pPr>
        <w:numPr>
          <w:ilvl w:val="0"/>
          <w:numId w:val="7"/>
        </w:numPr>
        <w:spacing w:before="100" w:beforeAutospacing="1" w:after="120" w:line="240" w:lineRule="auto"/>
        <w:rPr>
          <w:rFonts w:ascii="Verdana" w:eastAsia="Times New Roman" w:hAnsi="Verdana" w:cs="Calibri"/>
          <w:lang w:eastAsia="en-AE"/>
        </w:rPr>
      </w:pPr>
      <w:r w:rsidRPr="00FC3D7B">
        <w:rPr>
          <w:rFonts w:ascii="Verdana" w:eastAsia="Verdana" w:hAnsi="Verdana" w:cs="Calibri"/>
          <w:sz w:val="21"/>
          <w:lang w:eastAsia="en-AE"/>
        </w:rPr>
        <w:t>Charles Schwab: Completed third-party vendor assessments a month early, saving project costs.</w:t>
      </w:r>
    </w:p>
    <w:p w14:paraId="73A6B942" w14:textId="77777777" w:rsidR="00BF22FC" w:rsidRPr="00FC3D7B" w:rsidRDefault="00B7104B" w:rsidP="006F38C9">
      <w:pPr>
        <w:numPr>
          <w:ilvl w:val="0"/>
          <w:numId w:val="7"/>
        </w:numPr>
        <w:spacing w:before="100" w:beforeAutospacing="1" w:after="120" w:line="240" w:lineRule="auto"/>
        <w:rPr>
          <w:rFonts w:ascii="Verdana" w:eastAsia="Times New Roman" w:hAnsi="Verdana" w:cs="Calibri"/>
          <w:lang w:eastAsia="en-AE"/>
        </w:rPr>
      </w:pPr>
      <w:r w:rsidRPr="00FC3D7B">
        <w:rPr>
          <w:rFonts w:ascii="Verdana" w:eastAsia="Verdana" w:hAnsi="Verdana" w:cs="Calibri"/>
          <w:sz w:val="21"/>
          <w:lang w:eastAsia="en-AE"/>
        </w:rPr>
        <w:t xml:space="preserve">Hewlett Packard: Conducted third-party vendor audits using RSA Archer, identified gaps, and ensured compliance with standards </w:t>
      </w:r>
      <w:r w:rsidR="00BF22FC" w:rsidRPr="00FC3D7B">
        <w:rPr>
          <w:rFonts w:ascii="Verdana" w:eastAsia="Verdana" w:hAnsi="Verdana" w:cs="Calibri"/>
          <w:sz w:val="21"/>
          <w:lang w:eastAsia="en-AE"/>
        </w:rPr>
        <w:t>for NIST 800-53a, NIST 800-37, PCI DSS, ISO, SIG7, SOC, SOX, CIS, Safe Harbor</w:t>
      </w:r>
      <w:r w:rsidR="004B5AD8" w:rsidRPr="00FC3D7B">
        <w:rPr>
          <w:rFonts w:ascii="Verdana" w:eastAsia="Verdana" w:hAnsi="Verdana" w:cs="Calibri"/>
          <w:sz w:val="21"/>
          <w:lang w:eastAsia="en-AE"/>
        </w:rPr>
        <w:t>.</w:t>
      </w:r>
    </w:p>
    <w:p w14:paraId="5E1E217F" w14:textId="77777777" w:rsidR="00BF22FC" w:rsidRPr="00FC3D7B" w:rsidRDefault="00B7104B" w:rsidP="006F38C9">
      <w:pPr>
        <w:numPr>
          <w:ilvl w:val="0"/>
          <w:numId w:val="7"/>
        </w:numPr>
        <w:spacing w:before="100" w:beforeAutospacing="1" w:after="120" w:line="240" w:lineRule="auto"/>
        <w:rPr>
          <w:rFonts w:ascii="Verdana" w:eastAsia="Times New Roman" w:hAnsi="Verdana" w:cs="Calibri"/>
          <w:lang w:eastAsia="en-AE"/>
        </w:rPr>
      </w:pPr>
      <w:r w:rsidRPr="00FC3D7B">
        <w:rPr>
          <w:rFonts w:ascii="Verdana" w:eastAsia="Verdana" w:hAnsi="Verdana" w:cs="Calibri"/>
          <w:sz w:val="21"/>
          <w:lang w:eastAsia="en-AE"/>
        </w:rPr>
        <w:t xml:space="preserve">Kaiser Permanente: Delivered risk assessments for </w:t>
      </w:r>
      <w:r w:rsidR="00ED71C8" w:rsidRPr="00FC3D7B">
        <w:rPr>
          <w:rFonts w:ascii="Verdana" w:eastAsia="Verdana" w:hAnsi="Verdana" w:cs="Calibri"/>
          <w:sz w:val="21"/>
          <w:lang w:eastAsia="en-AE"/>
        </w:rPr>
        <w:t>S</w:t>
      </w:r>
      <w:r w:rsidRPr="00FC3D7B">
        <w:rPr>
          <w:rFonts w:ascii="Verdana" w:eastAsia="Verdana" w:hAnsi="Verdana" w:cs="Calibri"/>
          <w:sz w:val="21"/>
          <w:lang w:eastAsia="en-AE"/>
        </w:rPr>
        <w:t>ecurity Operations, Facility Operations, and medical equipment ahead of schedule, generating significant project cost savings. Led and executed IT security audits using NIST 800-66 for HIPAA e-PHI, NIST 800-53a, MARS-E, and NIST 800-37 Risk Management Framework. Conducted comprehensive risk profiling of clinical devices and applications, ensuring compliance with HIPAA, PHI, ePHI, and FDA standards.</w:t>
      </w:r>
    </w:p>
    <w:p w14:paraId="44F7DD2D" w14:textId="016EE5C0" w:rsidR="00BF22FC" w:rsidRPr="00FC3D7B" w:rsidRDefault="00B7104B" w:rsidP="006F38C9">
      <w:pPr>
        <w:pStyle w:val="ListParagraph"/>
        <w:numPr>
          <w:ilvl w:val="0"/>
          <w:numId w:val="7"/>
        </w:numPr>
        <w:spacing w:after="120"/>
        <w:rPr>
          <w:rFonts w:ascii="Verdana" w:eastAsia="Times New Roman" w:hAnsi="Verdana" w:cs="Calibri"/>
          <w:lang w:eastAsia="en-AE"/>
        </w:rPr>
      </w:pPr>
      <w:r>
        <w:rPr>
          <w:rFonts w:ascii="Verdana" w:eastAsia="Verdana" w:hAnsi="Verdana"/>
          <w:sz w:val="21"/>
        </w:rPr>
        <w:t xml:space="preserve">Energy Transfer &amp; INGAA: Validated Big 3 external audit findings, </w:t>
      </w:r>
      <w:r w:rsidR="00C46F81">
        <w:rPr>
          <w:rFonts w:ascii="Verdana" w:eastAsia="Verdana" w:hAnsi="Verdana"/>
          <w:sz w:val="21"/>
        </w:rPr>
        <w:t>collaborated</w:t>
      </w:r>
      <w:r>
        <w:rPr>
          <w:rFonts w:ascii="Verdana" w:eastAsia="Verdana" w:hAnsi="Verdana"/>
          <w:sz w:val="21"/>
        </w:rPr>
        <w:t xml:space="preserve"> with auditors and assessed IT security policies for Energy Transfer. Consulted with INGAA  Interstate Natural Gas Association of America , defining and updating their cyber security programs.</w:t>
      </w:r>
    </w:p>
    <w:p w14:paraId="73ECF198" w14:textId="77777777" w:rsidR="00BF22FC" w:rsidRPr="00FC3D7B" w:rsidRDefault="00B7104B" w:rsidP="006F38C9">
      <w:pPr>
        <w:numPr>
          <w:ilvl w:val="0"/>
          <w:numId w:val="7"/>
        </w:numPr>
        <w:spacing w:before="100" w:beforeAutospacing="1" w:after="120" w:line="240" w:lineRule="auto"/>
        <w:rPr>
          <w:rFonts w:ascii="Verdana" w:eastAsia="Times New Roman" w:hAnsi="Verdana" w:cs="Calibri"/>
          <w:lang w:eastAsia="en-AE"/>
        </w:rPr>
      </w:pPr>
      <w:r w:rsidRPr="00FC3D7B">
        <w:rPr>
          <w:rFonts w:ascii="Verdana" w:eastAsia="Verdana" w:hAnsi="Verdana" w:cs="Calibri"/>
          <w:sz w:val="21"/>
          <w:lang w:eastAsia="en-AE"/>
        </w:rPr>
        <w:t>NASA: Supported IT security for industrial control systems at the Neutral Buoyancy Laboratory and the Space Vehicle Mockup Facility of the International Space Station</w:t>
      </w:r>
      <w:r w:rsidR="00724BEF">
        <w:rPr>
          <w:rFonts w:ascii="Verdana" w:eastAsia="Verdana" w:hAnsi="Verdana" w:cs="Calibri"/>
          <w:sz w:val="21"/>
          <w:lang w:eastAsia="en-AE"/>
        </w:rPr>
        <w:t xml:space="preserve">, </w:t>
      </w:r>
      <w:r w:rsidRPr="00FC3D7B">
        <w:rPr>
          <w:rFonts w:ascii="Verdana" w:eastAsia="Verdana" w:hAnsi="Verdana" w:cs="Calibri"/>
          <w:sz w:val="21"/>
          <w:lang w:eastAsia="en-AE"/>
        </w:rPr>
        <w:t>adhering to SCADA, NIST 800-82, and NIST 800-53a standards.</w:t>
      </w:r>
      <w:r w:rsidR="00C24B15" w:rsidRPr="00FC3D7B">
        <w:rPr>
          <w:rFonts w:ascii="Verdana" w:eastAsia="Verdana" w:hAnsi="Verdana" w:cs="Calibri"/>
          <w:sz w:val="21"/>
          <w:lang w:eastAsia="en-AE"/>
        </w:rPr>
        <w:t xml:space="preserve"> </w:t>
      </w:r>
    </w:p>
    <w:p w14:paraId="63FD43C9" w14:textId="77777777" w:rsidR="0054740D" w:rsidRPr="00FC3D7B" w:rsidRDefault="00B7104B" w:rsidP="006F38C9">
      <w:pPr>
        <w:numPr>
          <w:ilvl w:val="0"/>
          <w:numId w:val="7"/>
        </w:numPr>
        <w:spacing w:before="100" w:beforeAutospacing="1" w:after="120" w:line="240" w:lineRule="auto"/>
        <w:rPr>
          <w:rFonts w:ascii="Verdana" w:eastAsia="Times New Roman" w:hAnsi="Verdana" w:cs="Calibri"/>
          <w:lang w:eastAsia="en-AE"/>
        </w:rPr>
      </w:pPr>
      <w:r w:rsidRPr="00FC3D7B">
        <w:rPr>
          <w:rFonts w:ascii="Verdana" w:eastAsia="Verdana" w:hAnsi="Verdana" w:cs="Calibri"/>
          <w:sz w:val="21"/>
          <w:lang w:eastAsia="en-AE"/>
        </w:rPr>
        <w:t xml:space="preserve">Federal Agencies: Conducted IT compliance audits </w:t>
      </w:r>
      <w:r w:rsidR="00C24B15" w:rsidRPr="00FC3D7B">
        <w:rPr>
          <w:rFonts w:ascii="Verdana" w:eastAsia="Verdana" w:hAnsi="Verdana" w:cs="Calibri"/>
          <w:sz w:val="21"/>
          <w:lang w:eastAsia="en-AE"/>
        </w:rPr>
        <w:t>of new and existing IT system compliance audits for Veterans Affairs</w:t>
      </w:r>
      <w:r w:rsidR="00255A8A" w:rsidRPr="00FC3D7B">
        <w:rPr>
          <w:rFonts w:ascii="Verdana" w:eastAsia="Verdana" w:hAnsi="Verdana" w:cs="Calibri"/>
          <w:sz w:val="21"/>
          <w:lang w:eastAsia="en-AE"/>
        </w:rPr>
        <w:t>, the</w:t>
      </w:r>
      <w:r w:rsidR="00C24B15" w:rsidRPr="00FC3D7B">
        <w:rPr>
          <w:rFonts w:ascii="Verdana" w:eastAsia="Verdana" w:hAnsi="Verdana" w:cs="Calibri"/>
          <w:sz w:val="21"/>
          <w:lang w:eastAsia="en-AE"/>
        </w:rPr>
        <w:t xml:space="preserve"> Internal Revenue Service</w:t>
      </w:r>
      <w:r w:rsidR="00CD3703" w:rsidRPr="00FC3D7B">
        <w:rPr>
          <w:rFonts w:ascii="Verdana" w:eastAsia="Verdana" w:hAnsi="Verdana" w:cs="Calibri"/>
          <w:sz w:val="21"/>
          <w:lang w:eastAsia="en-AE"/>
        </w:rPr>
        <w:t xml:space="preserve"> and</w:t>
      </w:r>
      <w:r w:rsidR="00C24B15" w:rsidRPr="00FC3D7B">
        <w:rPr>
          <w:rFonts w:ascii="Verdana" w:eastAsia="Verdana" w:hAnsi="Verdana" w:cs="Calibri"/>
          <w:sz w:val="21"/>
          <w:lang w:eastAsia="en-AE"/>
        </w:rPr>
        <w:t xml:space="preserve"> National Science Foundation Antarctica</w:t>
      </w:r>
      <w:r w:rsidR="00ED71C8" w:rsidRPr="00FC3D7B">
        <w:rPr>
          <w:rFonts w:ascii="Verdana" w:eastAsia="Verdana" w:hAnsi="Verdana" w:cs="Calibri"/>
          <w:sz w:val="21"/>
          <w:lang w:eastAsia="en-AE"/>
        </w:rPr>
        <w:t>,</w:t>
      </w:r>
      <w:r w:rsidR="00C24B15" w:rsidRPr="00FC3D7B">
        <w:rPr>
          <w:rFonts w:ascii="Verdana" w:eastAsia="Verdana" w:hAnsi="Verdana" w:cs="Calibri"/>
          <w:sz w:val="21"/>
          <w:lang w:eastAsia="en-AE"/>
        </w:rPr>
        <w:t xml:space="preserve"> ensuring adherence to FISMA, NIST 800-53a, FIPS 199, NIST 800-37, SSAE assessments, </w:t>
      </w:r>
      <w:r w:rsidR="001D729E" w:rsidRPr="00FC3D7B">
        <w:rPr>
          <w:rFonts w:ascii="Verdana" w:eastAsia="Verdana" w:hAnsi="Verdana" w:cs="Calibri"/>
          <w:sz w:val="21"/>
          <w:lang w:eastAsia="en-AE"/>
        </w:rPr>
        <w:t xml:space="preserve">PCI DSS, </w:t>
      </w:r>
      <w:r w:rsidR="00C24B15" w:rsidRPr="00FC3D7B">
        <w:rPr>
          <w:rFonts w:ascii="Verdana" w:eastAsia="Verdana" w:hAnsi="Verdana" w:cs="Calibri"/>
          <w:sz w:val="21"/>
          <w:lang w:eastAsia="en-AE"/>
        </w:rPr>
        <w:t>FedRAMP Moderate</w:t>
      </w:r>
      <w:r w:rsidR="00F40C37" w:rsidRPr="00FC3D7B">
        <w:rPr>
          <w:rFonts w:ascii="Verdana" w:eastAsia="Verdana" w:hAnsi="Verdana" w:cs="Calibri"/>
          <w:sz w:val="21"/>
          <w:lang w:eastAsia="en-AE"/>
        </w:rPr>
        <w:t>.</w:t>
      </w:r>
    </w:p>
    <w:p w14:paraId="061E61B2" w14:textId="77777777" w:rsidR="0054740D" w:rsidRPr="00FC3D7B" w:rsidRDefault="00B7104B" w:rsidP="00C24B15">
      <w:pPr>
        <w:numPr>
          <w:ilvl w:val="0"/>
          <w:numId w:val="7"/>
        </w:numPr>
        <w:spacing w:before="100" w:beforeAutospacing="1" w:after="100" w:afterAutospacing="1" w:line="240" w:lineRule="auto"/>
        <w:rPr>
          <w:rFonts w:ascii="Verdana" w:eastAsia="Times New Roman" w:hAnsi="Verdana" w:cs="Calibri"/>
          <w:lang w:eastAsia="en-AE"/>
        </w:rPr>
      </w:pPr>
      <w:r w:rsidRPr="00FC3D7B">
        <w:rPr>
          <w:rFonts w:ascii="Verdana" w:eastAsia="Verdana" w:hAnsi="Verdana" w:cs="Calibri"/>
          <w:sz w:val="21"/>
          <w:lang w:eastAsia="en-AE"/>
        </w:rPr>
        <w:t xml:space="preserve">Department of Interior: </w:t>
      </w:r>
      <w:r w:rsidR="00BE0329" w:rsidRPr="00FC3D7B">
        <w:rPr>
          <w:rFonts w:ascii="Verdana" w:eastAsia="Verdana" w:hAnsi="Verdana" w:cs="Calibri"/>
          <w:sz w:val="21"/>
          <w:lang w:eastAsia="en-AE"/>
        </w:rPr>
        <w:t>Assisted</w:t>
      </w:r>
      <w:r w:rsidR="001D729E" w:rsidRPr="00FC3D7B">
        <w:rPr>
          <w:rFonts w:ascii="Verdana" w:eastAsia="Verdana" w:hAnsi="Verdana" w:cs="Calibri"/>
          <w:sz w:val="21"/>
          <w:lang w:eastAsia="en-AE"/>
        </w:rPr>
        <w:t xml:space="preserve"> the Department of Interior </w:t>
      </w:r>
      <w:r w:rsidR="00724BEF">
        <w:rPr>
          <w:rFonts w:ascii="Verdana" w:eastAsia="Verdana" w:hAnsi="Verdana" w:cs="Calibri"/>
          <w:sz w:val="21"/>
          <w:lang w:eastAsia="en-AE"/>
        </w:rPr>
        <w:t>-</w:t>
      </w:r>
      <w:r w:rsidR="001D729E" w:rsidRPr="00FC3D7B">
        <w:rPr>
          <w:rFonts w:ascii="Verdana" w:eastAsia="Verdana" w:hAnsi="Verdana" w:cs="Calibri"/>
          <w:sz w:val="21"/>
          <w:lang w:eastAsia="en-AE"/>
        </w:rPr>
        <w:t xml:space="preserve"> DOI </w:t>
      </w:r>
      <w:r w:rsidR="00724BEF">
        <w:rPr>
          <w:rFonts w:ascii="Verdana" w:eastAsia="Verdana" w:hAnsi="Verdana" w:cs="Calibri"/>
          <w:sz w:val="21"/>
          <w:lang w:eastAsia="en-AE"/>
        </w:rPr>
        <w:t>-</w:t>
      </w:r>
      <w:r w:rsidR="001D729E" w:rsidRPr="00FC3D7B">
        <w:rPr>
          <w:rFonts w:ascii="Verdana" w:eastAsia="Verdana" w:hAnsi="Verdana" w:cs="Calibri"/>
          <w:sz w:val="21"/>
          <w:lang w:eastAsia="en-AE"/>
        </w:rPr>
        <w:t xml:space="preserve"> with internal auditing to FISMA, NIST 800-53a, FIPS 199, NIST 800-37, SSAE assessments, FedRAMP Moderate. Conducted in-depth technical reviews of new and existing IT systems for SSP ATO to include policy and industry guidelines for the entities of DOI, DOT, BLM, BOR and BIA of ongoing IT security controls.</w:t>
      </w:r>
    </w:p>
    <w:p w14:paraId="56969DD0" w14:textId="77777777" w:rsidR="0054740D" w:rsidRPr="00FC3D7B" w:rsidRDefault="00000000" w:rsidP="006B1CB1">
      <w:pPr>
        <w:spacing w:line="240" w:lineRule="auto"/>
        <w:rPr>
          <w:rFonts w:ascii="Verdana" w:eastAsia="Times New Roman" w:hAnsi="Verdana" w:cs="Calibri"/>
          <w:lang w:eastAsia="en-AE"/>
        </w:rPr>
      </w:pPr>
      <w:r>
        <w:rPr>
          <w:rFonts w:ascii="Verdana" w:eastAsia="Verdana" w:hAnsi="Verdana" w:cs="Calibri"/>
          <w:sz w:val="21"/>
          <w:lang w:eastAsia="en-AE"/>
        </w:rPr>
        <w:pict w14:anchorId="318D78A1">
          <v:rect id="_x0000_i1027" style="width:0;height:1.5pt" o:hralign="center" o:hrstd="t" o:hr="t" fillcolor="#a0a0a0" stroked="f"/>
        </w:pict>
      </w:r>
    </w:p>
    <w:p w14:paraId="566F3B28" w14:textId="77777777" w:rsidR="0054740D" w:rsidRPr="00A60CF3" w:rsidRDefault="0054740D" w:rsidP="00442871">
      <w:pPr>
        <w:spacing w:after="120" w:line="240" w:lineRule="auto"/>
        <w:outlineLvl w:val="2"/>
        <w:rPr>
          <w:rFonts w:ascii="Verdana" w:eastAsia="Times New Roman" w:hAnsi="Verdana" w:cs="Calibri"/>
          <w:b/>
          <w:bCs/>
          <w:color w:val="073763"/>
          <w:lang w:eastAsia="en-AE"/>
        </w:rPr>
      </w:pPr>
      <w:r w:rsidRPr="00A60CF3">
        <w:rPr>
          <w:rFonts w:ascii="Verdana" w:eastAsia="Verdana" w:hAnsi="Verdana" w:cs="Calibri"/>
          <w:b/>
          <w:bCs/>
          <w:color w:val="073763"/>
          <w:lang w:eastAsia="en-AE"/>
        </w:rPr>
        <w:t>E</w:t>
      </w:r>
      <w:r w:rsidR="00255A8A" w:rsidRPr="00A60CF3">
        <w:rPr>
          <w:rFonts w:ascii="Verdana" w:eastAsia="Verdana" w:hAnsi="Verdana" w:cs="Calibri"/>
          <w:b/>
          <w:bCs/>
          <w:color w:val="073763"/>
          <w:lang w:eastAsia="en-AE"/>
        </w:rPr>
        <w:t>DUCATION</w:t>
      </w:r>
      <w:r w:rsidRPr="00A60CF3">
        <w:rPr>
          <w:rFonts w:ascii="Verdana" w:eastAsia="Verdana" w:hAnsi="Verdana" w:cs="Calibri"/>
          <w:b/>
          <w:bCs/>
          <w:color w:val="073763"/>
          <w:lang w:eastAsia="en-AE"/>
        </w:rPr>
        <w:t>, T</w:t>
      </w:r>
      <w:r w:rsidR="00255A8A" w:rsidRPr="00A60CF3">
        <w:rPr>
          <w:rFonts w:ascii="Verdana" w:eastAsia="Verdana" w:hAnsi="Verdana" w:cs="Calibri"/>
          <w:b/>
          <w:bCs/>
          <w:color w:val="073763"/>
          <w:lang w:eastAsia="en-AE"/>
        </w:rPr>
        <w:t>RAINING</w:t>
      </w:r>
      <w:r w:rsidRPr="00A60CF3">
        <w:rPr>
          <w:rFonts w:ascii="Verdana" w:eastAsia="Verdana" w:hAnsi="Verdana" w:cs="Calibri"/>
          <w:b/>
          <w:bCs/>
          <w:color w:val="073763"/>
          <w:lang w:eastAsia="en-AE"/>
        </w:rPr>
        <w:t xml:space="preserve"> and C</w:t>
      </w:r>
      <w:r w:rsidR="00255A8A" w:rsidRPr="00A60CF3">
        <w:rPr>
          <w:rFonts w:ascii="Verdana" w:eastAsia="Verdana" w:hAnsi="Verdana" w:cs="Calibri"/>
          <w:b/>
          <w:bCs/>
          <w:color w:val="073763"/>
          <w:lang w:eastAsia="en-AE"/>
        </w:rPr>
        <w:t>ERTIFICATIONS</w:t>
      </w:r>
    </w:p>
    <w:p w14:paraId="043D3F48" w14:textId="77777777" w:rsidR="007000A2" w:rsidRPr="007000A2" w:rsidRDefault="007000A2" w:rsidP="007000A2">
      <w:pPr>
        <w:numPr>
          <w:ilvl w:val="0"/>
          <w:numId w:val="8"/>
        </w:numPr>
        <w:spacing w:before="100" w:beforeAutospacing="1" w:after="100" w:afterAutospacing="1" w:line="240" w:lineRule="auto"/>
        <w:rPr>
          <w:rFonts w:ascii="Verdana" w:eastAsia="Times New Roman" w:hAnsi="Verdana" w:cs="Calibri"/>
          <w:lang w:eastAsia="en-AE"/>
        </w:rPr>
      </w:pPr>
      <w:r w:rsidRPr="007000A2">
        <w:rPr>
          <w:rFonts w:ascii="Verdana" w:eastAsia="Verdana" w:hAnsi="Verdana" w:cs="Calibri"/>
          <w:sz w:val="21"/>
          <w:lang w:eastAsia="en-AE"/>
        </w:rPr>
        <w:t xml:space="preserve">Certified Data Privacy Solutions Engineer (CDPSE) – ISACA  </w:t>
      </w:r>
    </w:p>
    <w:p w14:paraId="3CB16727" w14:textId="77777777" w:rsidR="007000A2" w:rsidRPr="007000A2" w:rsidRDefault="007000A2" w:rsidP="007000A2">
      <w:pPr>
        <w:numPr>
          <w:ilvl w:val="0"/>
          <w:numId w:val="8"/>
        </w:numPr>
        <w:spacing w:before="100" w:beforeAutospacing="1" w:after="100" w:afterAutospacing="1" w:line="240" w:lineRule="auto"/>
        <w:rPr>
          <w:rFonts w:ascii="Verdana" w:eastAsia="Times New Roman" w:hAnsi="Verdana" w:cs="Calibri"/>
          <w:lang w:eastAsia="en-AE"/>
        </w:rPr>
      </w:pPr>
      <w:r w:rsidRPr="007000A2">
        <w:rPr>
          <w:rFonts w:ascii="Verdana" w:eastAsia="Verdana" w:hAnsi="Verdana" w:cs="Calibri"/>
          <w:sz w:val="21"/>
          <w:lang w:eastAsia="en-AE"/>
        </w:rPr>
        <w:t xml:space="preserve">Certified Information Systems Auditor (CISA) – ISACA  </w:t>
      </w:r>
    </w:p>
    <w:p w14:paraId="7CCF0D45" w14:textId="77777777" w:rsidR="007000A2" w:rsidRPr="007000A2" w:rsidRDefault="007000A2" w:rsidP="007000A2">
      <w:pPr>
        <w:numPr>
          <w:ilvl w:val="0"/>
          <w:numId w:val="8"/>
        </w:numPr>
        <w:spacing w:before="100" w:beforeAutospacing="1" w:after="100" w:afterAutospacing="1" w:line="240" w:lineRule="auto"/>
        <w:rPr>
          <w:rFonts w:ascii="Verdana" w:eastAsia="Times New Roman" w:hAnsi="Verdana" w:cs="Calibri"/>
          <w:lang w:eastAsia="en-AE"/>
        </w:rPr>
      </w:pPr>
      <w:r w:rsidRPr="007000A2">
        <w:rPr>
          <w:rFonts w:ascii="Verdana" w:eastAsia="Verdana" w:hAnsi="Verdana" w:cs="Calibri"/>
          <w:sz w:val="21"/>
          <w:lang w:eastAsia="en-AE"/>
        </w:rPr>
        <w:t xml:space="preserve">Certified Information Security Manager (CISM) – ISACA  </w:t>
      </w:r>
    </w:p>
    <w:p w14:paraId="2E3D028F" w14:textId="77777777" w:rsidR="007000A2" w:rsidRPr="007000A2" w:rsidRDefault="007000A2" w:rsidP="007000A2">
      <w:pPr>
        <w:numPr>
          <w:ilvl w:val="0"/>
          <w:numId w:val="8"/>
        </w:numPr>
        <w:spacing w:before="100" w:beforeAutospacing="1" w:after="100" w:afterAutospacing="1" w:line="240" w:lineRule="auto"/>
        <w:rPr>
          <w:rFonts w:ascii="Verdana" w:eastAsia="Times New Roman" w:hAnsi="Verdana" w:cs="Calibri"/>
          <w:lang w:eastAsia="en-AE"/>
        </w:rPr>
      </w:pPr>
      <w:r w:rsidRPr="007000A2">
        <w:rPr>
          <w:rFonts w:ascii="Verdana" w:eastAsia="Verdana" w:hAnsi="Verdana" w:cs="Calibri"/>
          <w:sz w:val="21"/>
          <w:lang w:eastAsia="en-AE"/>
        </w:rPr>
        <w:t xml:space="preserve">Security+ – CompTIA  </w:t>
      </w:r>
    </w:p>
    <w:p w14:paraId="7597F067" w14:textId="77777777" w:rsidR="007000A2" w:rsidRPr="007000A2" w:rsidRDefault="007000A2" w:rsidP="007000A2">
      <w:pPr>
        <w:numPr>
          <w:ilvl w:val="0"/>
          <w:numId w:val="8"/>
        </w:numPr>
        <w:spacing w:before="100" w:beforeAutospacing="1" w:after="100" w:afterAutospacing="1" w:line="240" w:lineRule="auto"/>
        <w:rPr>
          <w:rFonts w:ascii="Verdana" w:eastAsia="Times New Roman" w:hAnsi="Verdana" w:cs="Calibri"/>
          <w:lang w:eastAsia="en-AE"/>
        </w:rPr>
      </w:pPr>
      <w:r w:rsidRPr="007000A2">
        <w:rPr>
          <w:rFonts w:ascii="Verdana" w:eastAsia="Verdana" w:hAnsi="Verdana" w:cs="Calibri"/>
          <w:sz w:val="21"/>
          <w:lang w:eastAsia="en-AE"/>
        </w:rPr>
        <w:t xml:space="preserve">Cybersecurity Nexus (CSX) – ISACA </w:t>
      </w:r>
    </w:p>
    <w:p w14:paraId="60EE920E" w14:textId="6CBFA608" w:rsidR="0054740D" w:rsidRPr="007000A2" w:rsidRDefault="0054740D" w:rsidP="007000A2">
      <w:pPr>
        <w:numPr>
          <w:ilvl w:val="0"/>
          <w:numId w:val="8"/>
        </w:numPr>
        <w:spacing w:before="100" w:beforeAutospacing="1" w:after="100" w:afterAutospacing="1" w:line="240" w:lineRule="auto"/>
        <w:rPr>
          <w:rFonts w:ascii="Verdana" w:eastAsia="Times New Roman" w:hAnsi="Verdana" w:cs="Calibri"/>
          <w:lang w:eastAsia="en-AE"/>
        </w:rPr>
      </w:pPr>
      <w:r>
        <w:rPr>
          <w:rFonts w:ascii="Verdana" w:eastAsia="Verdana" w:hAnsi="Verdana"/>
          <w:sz w:val="21"/>
        </w:rPr>
        <w:t xml:space="preserve">ISC2 CISSP Exam Preparation Boot Camp </w:t>
      </w:r>
    </w:p>
    <w:p w14:paraId="3B661FFE" w14:textId="77777777" w:rsidR="0054740D" w:rsidRPr="007000A2" w:rsidRDefault="0054740D" w:rsidP="0054740D">
      <w:pPr>
        <w:numPr>
          <w:ilvl w:val="0"/>
          <w:numId w:val="8"/>
        </w:numPr>
        <w:spacing w:before="100" w:beforeAutospacing="1" w:after="100" w:afterAutospacing="1" w:line="240" w:lineRule="auto"/>
        <w:rPr>
          <w:rFonts w:ascii="Verdana" w:eastAsia="Times New Roman" w:hAnsi="Verdana" w:cs="Calibri"/>
          <w:lang w:eastAsia="en-AE"/>
        </w:rPr>
      </w:pPr>
      <w:r w:rsidRPr="007000A2">
        <w:rPr>
          <w:rFonts w:ascii="Verdana" w:eastAsia="Verdana" w:hAnsi="Verdana" w:cs="Calibri"/>
          <w:sz w:val="21"/>
          <w:lang w:eastAsia="en-AE"/>
        </w:rPr>
        <w:t>Certified Multimedia Design Networks Specialist</w:t>
      </w:r>
    </w:p>
    <w:p w14:paraId="57E6253E" w14:textId="77777777" w:rsidR="0054740D" w:rsidRPr="007000A2" w:rsidRDefault="0054740D" w:rsidP="0054740D">
      <w:pPr>
        <w:numPr>
          <w:ilvl w:val="0"/>
          <w:numId w:val="8"/>
        </w:numPr>
        <w:spacing w:before="100" w:beforeAutospacing="1" w:after="100" w:afterAutospacing="1" w:line="240" w:lineRule="auto"/>
        <w:rPr>
          <w:rFonts w:ascii="Verdana" w:eastAsia="Times New Roman" w:hAnsi="Verdana" w:cs="Calibri"/>
          <w:lang w:eastAsia="en-AE"/>
        </w:rPr>
      </w:pPr>
      <w:r w:rsidRPr="007000A2">
        <w:rPr>
          <w:rFonts w:ascii="Verdana" w:eastAsia="Verdana" w:hAnsi="Verdana" w:cs="Calibri"/>
          <w:sz w:val="21"/>
          <w:lang w:eastAsia="en-AE"/>
        </w:rPr>
        <w:t xml:space="preserve">A.A. General Studies </w:t>
      </w:r>
      <w:r w:rsidR="00724BEF" w:rsidRPr="007000A2">
        <w:rPr>
          <w:rFonts w:ascii="Verdana" w:eastAsia="Verdana" w:hAnsi="Verdana" w:cs="Calibri"/>
          <w:sz w:val="21"/>
          <w:lang w:eastAsia="en-AE"/>
        </w:rPr>
        <w:t>-</w:t>
      </w:r>
      <w:r w:rsidRPr="007000A2">
        <w:rPr>
          <w:rFonts w:ascii="Verdana" w:eastAsia="Verdana" w:hAnsi="Verdana" w:cs="Calibri"/>
          <w:sz w:val="21"/>
          <w:lang w:eastAsia="en-AE"/>
        </w:rPr>
        <w:t xml:space="preserve"> University of Maryland</w:t>
      </w:r>
    </w:p>
    <w:p w14:paraId="332FB0CA" w14:textId="77777777" w:rsidR="0054740D" w:rsidRPr="007000A2" w:rsidRDefault="0054740D" w:rsidP="004E0783">
      <w:pPr>
        <w:numPr>
          <w:ilvl w:val="0"/>
          <w:numId w:val="8"/>
        </w:numPr>
        <w:spacing w:before="100" w:beforeAutospacing="1" w:after="100" w:afterAutospacing="1" w:line="240" w:lineRule="auto"/>
        <w:rPr>
          <w:rFonts w:ascii="Verdana" w:eastAsia="Times New Roman" w:hAnsi="Verdana" w:cs="Calibri"/>
          <w:lang w:eastAsia="en-AE"/>
        </w:rPr>
      </w:pPr>
      <w:r w:rsidRPr="007000A2">
        <w:rPr>
          <w:rFonts w:ascii="Verdana" w:eastAsia="Verdana" w:hAnsi="Verdana" w:cs="Calibri"/>
          <w:sz w:val="21"/>
          <w:lang w:eastAsia="en-AE"/>
        </w:rPr>
        <w:t xml:space="preserve">A.A.S. Electronic Systems Technology </w:t>
      </w:r>
      <w:r w:rsidR="00724BEF" w:rsidRPr="007000A2">
        <w:rPr>
          <w:rFonts w:ascii="Verdana" w:eastAsia="Verdana" w:hAnsi="Verdana" w:cs="Calibri"/>
          <w:sz w:val="21"/>
          <w:lang w:eastAsia="en-AE"/>
        </w:rPr>
        <w:t>-</w:t>
      </w:r>
      <w:r w:rsidRPr="007000A2">
        <w:rPr>
          <w:rFonts w:ascii="Verdana" w:eastAsia="Verdana" w:hAnsi="Verdana" w:cs="Calibri"/>
          <w:sz w:val="21"/>
          <w:lang w:eastAsia="en-AE"/>
        </w:rPr>
        <w:t xml:space="preserve"> Community College of the Air Force</w:t>
      </w:r>
    </w:p>
    <w:sectPr w:rsidR="0054740D" w:rsidRPr="007000A2" w:rsidSect="0014592C">
      <w:pgSz w:w="11906" w:h="16838"/>
      <w:pgMar w:top="1296" w:right="1440" w:bottom="129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775EC"/>
    <w:multiLevelType w:val="multilevel"/>
    <w:tmpl w:val="6F70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37547"/>
    <w:multiLevelType w:val="multilevel"/>
    <w:tmpl w:val="FEBC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0360B"/>
    <w:multiLevelType w:val="multilevel"/>
    <w:tmpl w:val="E48E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52BDA"/>
    <w:multiLevelType w:val="multilevel"/>
    <w:tmpl w:val="EA7E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B724E"/>
    <w:multiLevelType w:val="multilevel"/>
    <w:tmpl w:val="B5B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61971"/>
    <w:multiLevelType w:val="multilevel"/>
    <w:tmpl w:val="54B2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38367F"/>
    <w:multiLevelType w:val="multilevel"/>
    <w:tmpl w:val="DE66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D63B0"/>
    <w:multiLevelType w:val="multilevel"/>
    <w:tmpl w:val="51EE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451487">
    <w:abstractNumId w:val="6"/>
  </w:num>
  <w:num w:numId="2" w16cid:durableId="790364697">
    <w:abstractNumId w:val="5"/>
  </w:num>
  <w:num w:numId="3" w16cid:durableId="1274049877">
    <w:abstractNumId w:val="0"/>
  </w:num>
  <w:num w:numId="4" w16cid:durableId="706492463">
    <w:abstractNumId w:val="2"/>
  </w:num>
  <w:num w:numId="5" w16cid:durableId="1174102995">
    <w:abstractNumId w:val="1"/>
  </w:num>
  <w:num w:numId="6" w16cid:durableId="214321414">
    <w:abstractNumId w:val="7"/>
  </w:num>
  <w:num w:numId="7" w16cid:durableId="1109591781">
    <w:abstractNumId w:val="3"/>
  </w:num>
  <w:num w:numId="8" w16cid:durableId="1785933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40D"/>
    <w:rsid w:val="00037409"/>
    <w:rsid w:val="00055C87"/>
    <w:rsid w:val="0006253B"/>
    <w:rsid w:val="00072C0E"/>
    <w:rsid w:val="000B1F5B"/>
    <w:rsid w:val="000B27B8"/>
    <w:rsid w:val="000C5F33"/>
    <w:rsid w:val="00132349"/>
    <w:rsid w:val="0014592C"/>
    <w:rsid w:val="00163013"/>
    <w:rsid w:val="00167F04"/>
    <w:rsid w:val="00177801"/>
    <w:rsid w:val="001904A5"/>
    <w:rsid w:val="001A0A9C"/>
    <w:rsid w:val="001C4D04"/>
    <w:rsid w:val="001C5CA0"/>
    <w:rsid w:val="001D729E"/>
    <w:rsid w:val="00226B57"/>
    <w:rsid w:val="002325A3"/>
    <w:rsid w:val="0024342C"/>
    <w:rsid w:val="002508F7"/>
    <w:rsid w:val="00255A8A"/>
    <w:rsid w:val="00273460"/>
    <w:rsid w:val="00294333"/>
    <w:rsid w:val="0030702A"/>
    <w:rsid w:val="003132CF"/>
    <w:rsid w:val="003156E9"/>
    <w:rsid w:val="00322EB2"/>
    <w:rsid w:val="00335157"/>
    <w:rsid w:val="003353B0"/>
    <w:rsid w:val="00336C6A"/>
    <w:rsid w:val="00363495"/>
    <w:rsid w:val="0038128F"/>
    <w:rsid w:val="003A1053"/>
    <w:rsid w:val="003B230E"/>
    <w:rsid w:val="003B677E"/>
    <w:rsid w:val="004042B7"/>
    <w:rsid w:val="004114E6"/>
    <w:rsid w:val="00420FF8"/>
    <w:rsid w:val="00422B49"/>
    <w:rsid w:val="00426B51"/>
    <w:rsid w:val="00442871"/>
    <w:rsid w:val="004961CE"/>
    <w:rsid w:val="004A3A44"/>
    <w:rsid w:val="004B5AD8"/>
    <w:rsid w:val="004B78AD"/>
    <w:rsid w:val="004C4B90"/>
    <w:rsid w:val="004D3223"/>
    <w:rsid w:val="004E0783"/>
    <w:rsid w:val="004E6419"/>
    <w:rsid w:val="0051435C"/>
    <w:rsid w:val="005204A2"/>
    <w:rsid w:val="00534BD9"/>
    <w:rsid w:val="005403A0"/>
    <w:rsid w:val="005422A1"/>
    <w:rsid w:val="0054740D"/>
    <w:rsid w:val="00551E22"/>
    <w:rsid w:val="005619AD"/>
    <w:rsid w:val="00573F4E"/>
    <w:rsid w:val="00596F0B"/>
    <w:rsid w:val="005B412F"/>
    <w:rsid w:val="005D6845"/>
    <w:rsid w:val="005E5E14"/>
    <w:rsid w:val="005E6F03"/>
    <w:rsid w:val="005F71DD"/>
    <w:rsid w:val="0062003D"/>
    <w:rsid w:val="00627F7D"/>
    <w:rsid w:val="00653766"/>
    <w:rsid w:val="0067226D"/>
    <w:rsid w:val="006A26CB"/>
    <w:rsid w:val="006A6F63"/>
    <w:rsid w:val="006B11EB"/>
    <w:rsid w:val="006B1CB1"/>
    <w:rsid w:val="006C326E"/>
    <w:rsid w:val="006D1A69"/>
    <w:rsid w:val="006D49C1"/>
    <w:rsid w:val="006E4686"/>
    <w:rsid w:val="006E4B2B"/>
    <w:rsid w:val="006F38C9"/>
    <w:rsid w:val="007000A2"/>
    <w:rsid w:val="00714B9B"/>
    <w:rsid w:val="007236F0"/>
    <w:rsid w:val="00724BEF"/>
    <w:rsid w:val="007478B2"/>
    <w:rsid w:val="00747D9A"/>
    <w:rsid w:val="007545BD"/>
    <w:rsid w:val="00762DCD"/>
    <w:rsid w:val="0076324A"/>
    <w:rsid w:val="007B230B"/>
    <w:rsid w:val="007D2B97"/>
    <w:rsid w:val="007D7F2C"/>
    <w:rsid w:val="007E7C06"/>
    <w:rsid w:val="007F49E5"/>
    <w:rsid w:val="007F73F0"/>
    <w:rsid w:val="008105C0"/>
    <w:rsid w:val="008142D4"/>
    <w:rsid w:val="00834C4A"/>
    <w:rsid w:val="00875220"/>
    <w:rsid w:val="008A6556"/>
    <w:rsid w:val="008C4459"/>
    <w:rsid w:val="008D6899"/>
    <w:rsid w:val="008E30B3"/>
    <w:rsid w:val="00925069"/>
    <w:rsid w:val="00961999"/>
    <w:rsid w:val="009627DA"/>
    <w:rsid w:val="00973BC5"/>
    <w:rsid w:val="009C1DD4"/>
    <w:rsid w:val="009D5219"/>
    <w:rsid w:val="009E5397"/>
    <w:rsid w:val="009F2EE4"/>
    <w:rsid w:val="00A06B65"/>
    <w:rsid w:val="00A22B36"/>
    <w:rsid w:val="00A51C13"/>
    <w:rsid w:val="00A5586C"/>
    <w:rsid w:val="00A60CF3"/>
    <w:rsid w:val="00A80605"/>
    <w:rsid w:val="00A823A9"/>
    <w:rsid w:val="00A95CE3"/>
    <w:rsid w:val="00AC6C46"/>
    <w:rsid w:val="00B13B09"/>
    <w:rsid w:val="00B332A0"/>
    <w:rsid w:val="00B37AA5"/>
    <w:rsid w:val="00B43AA5"/>
    <w:rsid w:val="00B571BB"/>
    <w:rsid w:val="00B62201"/>
    <w:rsid w:val="00B7104B"/>
    <w:rsid w:val="00B80B76"/>
    <w:rsid w:val="00BB13B5"/>
    <w:rsid w:val="00BC10E9"/>
    <w:rsid w:val="00BD47F1"/>
    <w:rsid w:val="00BD6B15"/>
    <w:rsid w:val="00BE0329"/>
    <w:rsid w:val="00BF22FC"/>
    <w:rsid w:val="00BF6A8D"/>
    <w:rsid w:val="00C00169"/>
    <w:rsid w:val="00C1788A"/>
    <w:rsid w:val="00C24B15"/>
    <w:rsid w:val="00C35D01"/>
    <w:rsid w:val="00C46F81"/>
    <w:rsid w:val="00C625DE"/>
    <w:rsid w:val="00C83116"/>
    <w:rsid w:val="00CA0297"/>
    <w:rsid w:val="00CA3138"/>
    <w:rsid w:val="00CB3C4E"/>
    <w:rsid w:val="00CB4C38"/>
    <w:rsid w:val="00CD3703"/>
    <w:rsid w:val="00CE1920"/>
    <w:rsid w:val="00D11C31"/>
    <w:rsid w:val="00D25EC9"/>
    <w:rsid w:val="00D3187E"/>
    <w:rsid w:val="00D330F2"/>
    <w:rsid w:val="00D53E03"/>
    <w:rsid w:val="00D60571"/>
    <w:rsid w:val="00D841DF"/>
    <w:rsid w:val="00D93B1E"/>
    <w:rsid w:val="00D942AC"/>
    <w:rsid w:val="00DB21CF"/>
    <w:rsid w:val="00DB31C6"/>
    <w:rsid w:val="00DC6576"/>
    <w:rsid w:val="00DD50DD"/>
    <w:rsid w:val="00E174CE"/>
    <w:rsid w:val="00E3004E"/>
    <w:rsid w:val="00E349E7"/>
    <w:rsid w:val="00E444B5"/>
    <w:rsid w:val="00E45200"/>
    <w:rsid w:val="00E53199"/>
    <w:rsid w:val="00E77BC1"/>
    <w:rsid w:val="00E97256"/>
    <w:rsid w:val="00EA6D4D"/>
    <w:rsid w:val="00ED71C8"/>
    <w:rsid w:val="00EE013B"/>
    <w:rsid w:val="00F05D6D"/>
    <w:rsid w:val="00F27CDB"/>
    <w:rsid w:val="00F32AE1"/>
    <w:rsid w:val="00F40C37"/>
    <w:rsid w:val="00F47CEB"/>
    <w:rsid w:val="00F94807"/>
    <w:rsid w:val="00FA4D94"/>
    <w:rsid w:val="00FA57BD"/>
    <w:rsid w:val="00FB2568"/>
    <w:rsid w:val="00FC3D7B"/>
    <w:rsid w:val="00FF0590"/>
    <w:rsid w:val="00FF630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85AE5"/>
  <w15:chartTrackingRefBased/>
  <w15:docId w15:val="{F30C78C1-DB94-4D24-955E-DFB23D0B4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40D"/>
    <w:rPr>
      <w:rFonts w:eastAsiaTheme="majorEastAsia" w:cstheme="majorBidi"/>
      <w:color w:val="272727" w:themeColor="text1" w:themeTint="D8"/>
    </w:rPr>
  </w:style>
  <w:style w:type="paragraph" w:styleId="Title">
    <w:name w:val="Title"/>
    <w:basedOn w:val="Normal"/>
    <w:next w:val="Normal"/>
    <w:link w:val="TitleChar"/>
    <w:uiPriority w:val="10"/>
    <w:qFormat/>
    <w:rsid w:val="00547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40D"/>
    <w:pPr>
      <w:spacing w:before="160"/>
      <w:jc w:val="center"/>
    </w:pPr>
    <w:rPr>
      <w:i/>
      <w:iCs/>
      <w:color w:val="404040" w:themeColor="text1" w:themeTint="BF"/>
    </w:rPr>
  </w:style>
  <w:style w:type="character" w:customStyle="1" w:styleId="QuoteChar">
    <w:name w:val="Quote Char"/>
    <w:basedOn w:val="DefaultParagraphFont"/>
    <w:link w:val="Quote"/>
    <w:uiPriority w:val="29"/>
    <w:rsid w:val="0054740D"/>
    <w:rPr>
      <w:i/>
      <w:iCs/>
      <w:color w:val="404040" w:themeColor="text1" w:themeTint="BF"/>
    </w:rPr>
  </w:style>
  <w:style w:type="paragraph" w:styleId="ListParagraph">
    <w:name w:val="List Paragraph"/>
    <w:basedOn w:val="Normal"/>
    <w:uiPriority w:val="34"/>
    <w:qFormat/>
    <w:rsid w:val="0054740D"/>
    <w:pPr>
      <w:ind w:left="720"/>
      <w:contextualSpacing/>
    </w:pPr>
  </w:style>
  <w:style w:type="character" w:styleId="IntenseEmphasis">
    <w:name w:val="Intense Emphasis"/>
    <w:basedOn w:val="DefaultParagraphFont"/>
    <w:uiPriority w:val="21"/>
    <w:qFormat/>
    <w:rsid w:val="0054740D"/>
    <w:rPr>
      <w:i/>
      <w:iCs/>
      <w:color w:val="0F4761" w:themeColor="accent1" w:themeShade="BF"/>
    </w:rPr>
  </w:style>
  <w:style w:type="paragraph" w:styleId="IntenseQuote">
    <w:name w:val="Intense Quote"/>
    <w:basedOn w:val="Normal"/>
    <w:next w:val="Normal"/>
    <w:link w:val="IntenseQuoteChar"/>
    <w:uiPriority w:val="30"/>
    <w:qFormat/>
    <w:rsid w:val="00547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40D"/>
    <w:rPr>
      <w:i/>
      <w:iCs/>
      <w:color w:val="0F4761" w:themeColor="accent1" w:themeShade="BF"/>
    </w:rPr>
  </w:style>
  <w:style w:type="character" w:styleId="IntenseReference">
    <w:name w:val="Intense Reference"/>
    <w:basedOn w:val="DefaultParagraphFont"/>
    <w:uiPriority w:val="32"/>
    <w:qFormat/>
    <w:rsid w:val="0054740D"/>
    <w:rPr>
      <w:b/>
      <w:bCs/>
      <w:smallCaps/>
      <w:color w:val="0F4761" w:themeColor="accent1" w:themeShade="BF"/>
      <w:spacing w:val="5"/>
    </w:rPr>
  </w:style>
  <w:style w:type="character" w:styleId="Hyperlink">
    <w:name w:val="Hyperlink"/>
    <w:basedOn w:val="DefaultParagraphFont"/>
    <w:uiPriority w:val="99"/>
    <w:unhideWhenUsed/>
    <w:rsid w:val="00534BD9"/>
    <w:rPr>
      <w:color w:val="467886" w:themeColor="hyperlink"/>
      <w:u w:val="single"/>
    </w:rPr>
  </w:style>
  <w:style w:type="character" w:styleId="UnresolvedMention">
    <w:name w:val="Unresolved Mention"/>
    <w:basedOn w:val="DefaultParagraphFont"/>
    <w:uiPriority w:val="99"/>
    <w:semiHidden/>
    <w:unhideWhenUsed/>
    <w:rsid w:val="00534B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03633">
      <w:bodyDiv w:val="1"/>
      <w:marLeft w:val="0"/>
      <w:marRight w:val="0"/>
      <w:marTop w:val="0"/>
      <w:marBottom w:val="0"/>
      <w:divBdr>
        <w:top w:val="none" w:sz="0" w:space="0" w:color="auto"/>
        <w:left w:val="none" w:sz="0" w:space="0" w:color="auto"/>
        <w:bottom w:val="none" w:sz="0" w:space="0" w:color="auto"/>
        <w:right w:val="none" w:sz="0" w:space="0" w:color="auto"/>
      </w:divBdr>
      <w:divsChild>
        <w:div w:id="66264476">
          <w:marLeft w:val="0"/>
          <w:marRight w:val="0"/>
          <w:marTop w:val="0"/>
          <w:marBottom w:val="0"/>
          <w:divBdr>
            <w:top w:val="none" w:sz="0" w:space="0" w:color="auto"/>
            <w:left w:val="none" w:sz="0" w:space="0" w:color="auto"/>
            <w:bottom w:val="none" w:sz="0" w:space="0" w:color="auto"/>
            <w:right w:val="none" w:sz="0" w:space="0" w:color="auto"/>
          </w:divBdr>
          <w:divsChild>
            <w:div w:id="1903061003">
              <w:marLeft w:val="0"/>
              <w:marRight w:val="0"/>
              <w:marTop w:val="0"/>
              <w:marBottom w:val="0"/>
              <w:divBdr>
                <w:top w:val="none" w:sz="0" w:space="0" w:color="auto"/>
                <w:left w:val="none" w:sz="0" w:space="0" w:color="auto"/>
                <w:bottom w:val="none" w:sz="0" w:space="0" w:color="auto"/>
                <w:right w:val="none" w:sz="0" w:space="0" w:color="auto"/>
              </w:divBdr>
              <w:divsChild>
                <w:div w:id="1088304158">
                  <w:marLeft w:val="0"/>
                  <w:marRight w:val="0"/>
                  <w:marTop w:val="0"/>
                  <w:marBottom w:val="0"/>
                  <w:divBdr>
                    <w:top w:val="none" w:sz="0" w:space="0" w:color="auto"/>
                    <w:left w:val="none" w:sz="0" w:space="0" w:color="auto"/>
                    <w:bottom w:val="none" w:sz="0" w:space="0" w:color="auto"/>
                    <w:right w:val="none" w:sz="0" w:space="0" w:color="auto"/>
                  </w:divBdr>
                  <w:divsChild>
                    <w:div w:id="135874790">
                      <w:marLeft w:val="0"/>
                      <w:marRight w:val="0"/>
                      <w:marTop w:val="0"/>
                      <w:marBottom w:val="0"/>
                      <w:divBdr>
                        <w:top w:val="none" w:sz="0" w:space="0" w:color="auto"/>
                        <w:left w:val="none" w:sz="0" w:space="0" w:color="auto"/>
                        <w:bottom w:val="none" w:sz="0" w:space="0" w:color="auto"/>
                        <w:right w:val="none" w:sz="0" w:space="0" w:color="auto"/>
                      </w:divBdr>
                      <w:divsChild>
                        <w:div w:id="1786844986">
                          <w:marLeft w:val="0"/>
                          <w:marRight w:val="0"/>
                          <w:marTop w:val="0"/>
                          <w:marBottom w:val="0"/>
                          <w:divBdr>
                            <w:top w:val="none" w:sz="0" w:space="0" w:color="auto"/>
                            <w:left w:val="none" w:sz="0" w:space="0" w:color="auto"/>
                            <w:bottom w:val="none" w:sz="0" w:space="0" w:color="auto"/>
                            <w:right w:val="none" w:sz="0" w:space="0" w:color="auto"/>
                          </w:divBdr>
                          <w:divsChild>
                            <w:div w:id="1369065436">
                              <w:marLeft w:val="0"/>
                              <w:marRight w:val="0"/>
                              <w:marTop w:val="0"/>
                              <w:marBottom w:val="0"/>
                              <w:divBdr>
                                <w:top w:val="none" w:sz="0" w:space="0" w:color="auto"/>
                                <w:left w:val="none" w:sz="0" w:space="0" w:color="auto"/>
                                <w:bottom w:val="none" w:sz="0" w:space="0" w:color="auto"/>
                                <w:right w:val="none" w:sz="0" w:space="0" w:color="auto"/>
                              </w:divBdr>
                              <w:divsChild>
                                <w:div w:id="1800878840">
                                  <w:marLeft w:val="0"/>
                                  <w:marRight w:val="0"/>
                                  <w:marTop w:val="0"/>
                                  <w:marBottom w:val="0"/>
                                  <w:divBdr>
                                    <w:top w:val="none" w:sz="0" w:space="0" w:color="auto"/>
                                    <w:left w:val="none" w:sz="0" w:space="0" w:color="auto"/>
                                    <w:bottom w:val="none" w:sz="0" w:space="0" w:color="auto"/>
                                    <w:right w:val="none" w:sz="0" w:space="0" w:color="auto"/>
                                  </w:divBdr>
                                  <w:divsChild>
                                    <w:div w:id="1800948977">
                                      <w:marLeft w:val="0"/>
                                      <w:marRight w:val="0"/>
                                      <w:marTop w:val="0"/>
                                      <w:marBottom w:val="0"/>
                                      <w:divBdr>
                                        <w:top w:val="none" w:sz="0" w:space="0" w:color="auto"/>
                                        <w:left w:val="none" w:sz="0" w:space="0" w:color="auto"/>
                                        <w:bottom w:val="none" w:sz="0" w:space="0" w:color="auto"/>
                                        <w:right w:val="none" w:sz="0" w:space="0" w:color="auto"/>
                                      </w:divBdr>
                                      <w:divsChild>
                                        <w:div w:id="165599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800016">
                      <w:marLeft w:val="0"/>
                      <w:marRight w:val="0"/>
                      <w:marTop w:val="0"/>
                      <w:marBottom w:val="0"/>
                      <w:divBdr>
                        <w:top w:val="none" w:sz="0" w:space="0" w:color="auto"/>
                        <w:left w:val="none" w:sz="0" w:space="0" w:color="auto"/>
                        <w:bottom w:val="none" w:sz="0" w:space="0" w:color="auto"/>
                        <w:right w:val="none" w:sz="0" w:space="0" w:color="auto"/>
                      </w:divBdr>
                      <w:divsChild>
                        <w:div w:id="1284578185">
                          <w:marLeft w:val="0"/>
                          <w:marRight w:val="0"/>
                          <w:marTop w:val="0"/>
                          <w:marBottom w:val="0"/>
                          <w:divBdr>
                            <w:top w:val="none" w:sz="0" w:space="0" w:color="auto"/>
                            <w:left w:val="none" w:sz="0" w:space="0" w:color="auto"/>
                            <w:bottom w:val="none" w:sz="0" w:space="0" w:color="auto"/>
                            <w:right w:val="none" w:sz="0" w:space="0" w:color="auto"/>
                          </w:divBdr>
                          <w:divsChild>
                            <w:div w:id="1448818987">
                              <w:marLeft w:val="0"/>
                              <w:marRight w:val="0"/>
                              <w:marTop w:val="0"/>
                              <w:marBottom w:val="0"/>
                              <w:divBdr>
                                <w:top w:val="none" w:sz="0" w:space="0" w:color="auto"/>
                                <w:left w:val="none" w:sz="0" w:space="0" w:color="auto"/>
                                <w:bottom w:val="none" w:sz="0" w:space="0" w:color="auto"/>
                                <w:right w:val="none" w:sz="0" w:space="0" w:color="auto"/>
                              </w:divBdr>
                              <w:divsChild>
                                <w:div w:id="1334990242">
                                  <w:marLeft w:val="0"/>
                                  <w:marRight w:val="0"/>
                                  <w:marTop w:val="0"/>
                                  <w:marBottom w:val="0"/>
                                  <w:divBdr>
                                    <w:top w:val="none" w:sz="0" w:space="0" w:color="auto"/>
                                    <w:left w:val="none" w:sz="0" w:space="0" w:color="auto"/>
                                    <w:bottom w:val="none" w:sz="0" w:space="0" w:color="auto"/>
                                    <w:right w:val="none" w:sz="0" w:space="0" w:color="auto"/>
                                  </w:divBdr>
                                  <w:divsChild>
                                    <w:div w:id="174556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305073">
          <w:marLeft w:val="0"/>
          <w:marRight w:val="0"/>
          <w:marTop w:val="0"/>
          <w:marBottom w:val="0"/>
          <w:divBdr>
            <w:top w:val="none" w:sz="0" w:space="0" w:color="auto"/>
            <w:left w:val="none" w:sz="0" w:space="0" w:color="auto"/>
            <w:bottom w:val="none" w:sz="0" w:space="0" w:color="auto"/>
            <w:right w:val="none" w:sz="0" w:space="0" w:color="auto"/>
          </w:divBdr>
          <w:divsChild>
            <w:div w:id="750350518">
              <w:marLeft w:val="0"/>
              <w:marRight w:val="0"/>
              <w:marTop w:val="0"/>
              <w:marBottom w:val="0"/>
              <w:divBdr>
                <w:top w:val="none" w:sz="0" w:space="0" w:color="auto"/>
                <w:left w:val="none" w:sz="0" w:space="0" w:color="auto"/>
                <w:bottom w:val="none" w:sz="0" w:space="0" w:color="auto"/>
                <w:right w:val="none" w:sz="0" w:space="0" w:color="auto"/>
              </w:divBdr>
              <w:divsChild>
                <w:div w:id="1725523249">
                  <w:marLeft w:val="0"/>
                  <w:marRight w:val="0"/>
                  <w:marTop w:val="0"/>
                  <w:marBottom w:val="0"/>
                  <w:divBdr>
                    <w:top w:val="none" w:sz="0" w:space="0" w:color="auto"/>
                    <w:left w:val="none" w:sz="0" w:space="0" w:color="auto"/>
                    <w:bottom w:val="none" w:sz="0" w:space="0" w:color="auto"/>
                    <w:right w:val="none" w:sz="0" w:space="0" w:color="auto"/>
                  </w:divBdr>
                  <w:divsChild>
                    <w:div w:id="293289447">
                      <w:marLeft w:val="0"/>
                      <w:marRight w:val="0"/>
                      <w:marTop w:val="0"/>
                      <w:marBottom w:val="0"/>
                      <w:divBdr>
                        <w:top w:val="none" w:sz="0" w:space="0" w:color="auto"/>
                        <w:left w:val="none" w:sz="0" w:space="0" w:color="auto"/>
                        <w:bottom w:val="none" w:sz="0" w:space="0" w:color="auto"/>
                        <w:right w:val="none" w:sz="0" w:space="0" w:color="auto"/>
                      </w:divBdr>
                      <w:divsChild>
                        <w:div w:id="466431793">
                          <w:marLeft w:val="0"/>
                          <w:marRight w:val="0"/>
                          <w:marTop w:val="0"/>
                          <w:marBottom w:val="0"/>
                          <w:divBdr>
                            <w:top w:val="none" w:sz="0" w:space="0" w:color="auto"/>
                            <w:left w:val="none" w:sz="0" w:space="0" w:color="auto"/>
                            <w:bottom w:val="none" w:sz="0" w:space="0" w:color="auto"/>
                            <w:right w:val="none" w:sz="0" w:space="0" w:color="auto"/>
                          </w:divBdr>
                          <w:divsChild>
                            <w:div w:id="490290069">
                              <w:marLeft w:val="0"/>
                              <w:marRight w:val="0"/>
                              <w:marTop w:val="0"/>
                              <w:marBottom w:val="0"/>
                              <w:divBdr>
                                <w:top w:val="none" w:sz="0" w:space="0" w:color="auto"/>
                                <w:left w:val="none" w:sz="0" w:space="0" w:color="auto"/>
                                <w:bottom w:val="none" w:sz="0" w:space="0" w:color="auto"/>
                                <w:right w:val="none" w:sz="0" w:space="0" w:color="auto"/>
                              </w:divBdr>
                              <w:divsChild>
                                <w:div w:id="286811724">
                                  <w:marLeft w:val="0"/>
                                  <w:marRight w:val="0"/>
                                  <w:marTop w:val="0"/>
                                  <w:marBottom w:val="0"/>
                                  <w:divBdr>
                                    <w:top w:val="none" w:sz="0" w:space="0" w:color="auto"/>
                                    <w:left w:val="none" w:sz="0" w:space="0" w:color="auto"/>
                                    <w:bottom w:val="none" w:sz="0" w:space="0" w:color="auto"/>
                                    <w:right w:val="none" w:sz="0" w:space="0" w:color="auto"/>
                                  </w:divBdr>
                                  <w:divsChild>
                                    <w:div w:id="1365985442">
                                      <w:marLeft w:val="0"/>
                                      <w:marRight w:val="0"/>
                                      <w:marTop w:val="0"/>
                                      <w:marBottom w:val="0"/>
                                      <w:divBdr>
                                        <w:top w:val="none" w:sz="0" w:space="0" w:color="auto"/>
                                        <w:left w:val="none" w:sz="0" w:space="0" w:color="auto"/>
                                        <w:bottom w:val="none" w:sz="0" w:space="0" w:color="auto"/>
                                        <w:right w:val="none" w:sz="0" w:space="0" w:color="auto"/>
                                      </w:divBdr>
                                      <w:divsChild>
                                        <w:div w:id="88356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61195">
                              <w:marLeft w:val="0"/>
                              <w:marRight w:val="0"/>
                              <w:marTop w:val="0"/>
                              <w:marBottom w:val="0"/>
                              <w:divBdr>
                                <w:top w:val="none" w:sz="0" w:space="0" w:color="auto"/>
                                <w:left w:val="none" w:sz="0" w:space="0" w:color="auto"/>
                                <w:bottom w:val="none" w:sz="0" w:space="0" w:color="auto"/>
                                <w:right w:val="none" w:sz="0" w:space="0" w:color="auto"/>
                              </w:divBdr>
                              <w:divsChild>
                                <w:div w:id="1987465478">
                                  <w:marLeft w:val="0"/>
                                  <w:marRight w:val="0"/>
                                  <w:marTop w:val="0"/>
                                  <w:marBottom w:val="0"/>
                                  <w:divBdr>
                                    <w:top w:val="none" w:sz="0" w:space="0" w:color="auto"/>
                                    <w:left w:val="none" w:sz="0" w:space="0" w:color="auto"/>
                                    <w:bottom w:val="none" w:sz="0" w:space="0" w:color="auto"/>
                                    <w:right w:val="none" w:sz="0" w:space="0" w:color="auto"/>
                                  </w:divBdr>
                                  <w:divsChild>
                                    <w:div w:id="1022168328">
                                      <w:marLeft w:val="0"/>
                                      <w:marRight w:val="0"/>
                                      <w:marTop w:val="0"/>
                                      <w:marBottom w:val="0"/>
                                      <w:divBdr>
                                        <w:top w:val="none" w:sz="0" w:space="0" w:color="auto"/>
                                        <w:left w:val="none" w:sz="0" w:space="0" w:color="auto"/>
                                        <w:bottom w:val="none" w:sz="0" w:space="0" w:color="auto"/>
                                        <w:right w:val="none" w:sz="0" w:space="0" w:color="auto"/>
                                      </w:divBdr>
                                      <w:divsChild>
                                        <w:div w:id="170278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774499">
          <w:marLeft w:val="0"/>
          <w:marRight w:val="0"/>
          <w:marTop w:val="0"/>
          <w:marBottom w:val="0"/>
          <w:divBdr>
            <w:top w:val="none" w:sz="0" w:space="0" w:color="auto"/>
            <w:left w:val="none" w:sz="0" w:space="0" w:color="auto"/>
            <w:bottom w:val="none" w:sz="0" w:space="0" w:color="auto"/>
            <w:right w:val="none" w:sz="0" w:space="0" w:color="auto"/>
          </w:divBdr>
          <w:divsChild>
            <w:div w:id="281573679">
              <w:marLeft w:val="0"/>
              <w:marRight w:val="0"/>
              <w:marTop w:val="0"/>
              <w:marBottom w:val="0"/>
              <w:divBdr>
                <w:top w:val="none" w:sz="0" w:space="0" w:color="auto"/>
                <w:left w:val="none" w:sz="0" w:space="0" w:color="auto"/>
                <w:bottom w:val="none" w:sz="0" w:space="0" w:color="auto"/>
                <w:right w:val="none" w:sz="0" w:space="0" w:color="auto"/>
              </w:divBdr>
              <w:divsChild>
                <w:div w:id="545802452">
                  <w:marLeft w:val="0"/>
                  <w:marRight w:val="0"/>
                  <w:marTop w:val="0"/>
                  <w:marBottom w:val="0"/>
                  <w:divBdr>
                    <w:top w:val="none" w:sz="0" w:space="0" w:color="auto"/>
                    <w:left w:val="none" w:sz="0" w:space="0" w:color="auto"/>
                    <w:bottom w:val="none" w:sz="0" w:space="0" w:color="auto"/>
                    <w:right w:val="none" w:sz="0" w:space="0" w:color="auto"/>
                  </w:divBdr>
                  <w:divsChild>
                    <w:div w:id="1083375770">
                      <w:marLeft w:val="0"/>
                      <w:marRight w:val="0"/>
                      <w:marTop w:val="0"/>
                      <w:marBottom w:val="0"/>
                      <w:divBdr>
                        <w:top w:val="none" w:sz="0" w:space="0" w:color="auto"/>
                        <w:left w:val="none" w:sz="0" w:space="0" w:color="auto"/>
                        <w:bottom w:val="none" w:sz="0" w:space="0" w:color="auto"/>
                        <w:right w:val="none" w:sz="0" w:space="0" w:color="auto"/>
                      </w:divBdr>
                      <w:divsChild>
                        <w:div w:id="1931501126">
                          <w:marLeft w:val="0"/>
                          <w:marRight w:val="0"/>
                          <w:marTop w:val="0"/>
                          <w:marBottom w:val="0"/>
                          <w:divBdr>
                            <w:top w:val="none" w:sz="0" w:space="0" w:color="auto"/>
                            <w:left w:val="none" w:sz="0" w:space="0" w:color="auto"/>
                            <w:bottom w:val="none" w:sz="0" w:space="0" w:color="auto"/>
                            <w:right w:val="none" w:sz="0" w:space="0" w:color="auto"/>
                          </w:divBdr>
                          <w:divsChild>
                            <w:div w:id="935475597">
                              <w:marLeft w:val="0"/>
                              <w:marRight w:val="0"/>
                              <w:marTop w:val="0"/>
                              <w:marBottom w:val="0"/>
                              <w:divBdr>
                                <w:top w:val="none" w:sz="0" w:space="0" w:color="auto"/>
                                <w:left w:val="none" w:sz="0" w:space="0" w:color="auto"/>
                                <w:bottom w:val="none" w:sz="0" w:space="0" w:color="auto"/>
                                <w:right w:val="none" w:sz="0" w:space="0" w:color="auto"/>
                              </w:divBdr>
                              <w:divsChild>
                                <w:div w:id="282663309">
                                  <w:marLeft w:val="0"/>
                                  <w:marRight w:val="0"/>
                                  <w:marTop w:val="0"/>
                                  <w:marBottom w:val="0"/>
                                  <w:divBdr>
                                    <w:top w:val="none" w:sz="0" w:space="0" w:color="auto"/>
                                    <w:left w:val="none" w:sz="0" w:space="0" w:color="auto"/>
                                    <w:bottom w:val="none" w:sz="0" w:space="0" w:color="auto"/>
                                    <w:right w:val="none" w:sz="0" w:space="0" w:color="auto"/>
                                  </w:divBdr>
                                  <w:divsChild>
                                    <w:div w:id="665398349">
                                      <w:marLeft w:val="0"/>
                                      <w:marRight w:val="0"/>
                                      <w:marTop w:val="0"/>
                                      <w:marBottom w:val="0"/>
                                      <w:divBdr>
                                        <w:top w:val="none" w:sz="0" w:space="0" w:color="auto"/>
                                        <w:left w:val="none" w:sz="0" w:space="0" w:color="auto"/>
                                        <w:bottom w:val="none" w:sz="0" w:space="0" w:color="auto"/>
                                        <w:right w:val="none" w:sz="0" w:space="0" w:color="auto"/>
                                      </w:divBdr>
                                      <w:divsChild>
                                        <w:div w:id="872690836">
                                          <w:marLeft w:val="0"/>
                                          <w:marRight w:val="0"/>
                                          <w:marTop w:val="0"/>
                                          <w:marBottom w:val="0"/>
                                          <w:divBdr>
                                            <w:top w:val="none" w:sz="0" w:space="0" w:color="auto"/>
                                            <w:left w:val="none" w:sz="0" w:space="0" w:color="auto"/>
                                            <w:bottom w:val="none" w:sz="0" w:space="0" w:color="auto"/>
                                            <w:right w:val="none" w:sz="0" w:space="0" w:color="auto"/>
                                          </w:divBdr>
                                          <w:divsChild>
                                            <w:div w:id="207605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48015</TotalTime>
  <Pages>3</Pages>
  <Words>1233</Words>
  <Characters>7031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Marilyn Sousa</dc:creator>
  <cp:keywords/>
  <dc:description/>
  <cp:lastModifiedBy>Marilyn Sousa</cp:lastModifiedBy>
  <cp:revision>128</cp:revision>
  <cp:lastPrinted>2024-12-31T03:15:00Z</cp:lastPrinted>
  <dcterms:created xsi:type="dcterms:W3CDTF">2024-07-22T15:13:00Z</dcterms:created>
  <dcterms:modified xsi:type="dcterms:W3CDTF">2025-07-18T19:33:00Z</dcterms:modified>
</cp:coreProperties>
</file>