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Ethan Marquette</w:t>
      </w:r>
    </w:p>
    <w:p>
      <w:pPr>
        <w:spacing w:after="80"/>
      </w:pPr>
      <w:r>
        <w:t>Brownsburg, IN • (219) 555-3091 • ethanmarquette42@outlook.com</w:t>
      </w:r>
    </w:p>
    <w:p>
      <w:pPr>
        <w:spacing w:after="80"/>
      </w:pPr>
      <w:r>
        <w:t>Job Role: Analytical Chemist I • Experience: 1 years • Profile Tier: Developing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GC-MS/MS (triple quad)</w:t>
      </w:r>
    </w:p>
    <w:p>
      <w:pPr>
        <w:pStyle w:val="ListBullet"/>
      </w:pPr>
      <w:r>
        <w:t>GC-FID</w:t>
      </w:r>
    </w:p>
    <w:p>
      <w:pPr>
        <w:pStyle w:val="ListBullet"/>
      </w:pPr>
      <w:r>
        <w:t>HPLC (RP/SEC)</w:t>
      </w:r>
    </w:p>
    <w:p>
      <w:pPr>
        <w:pStyle w:val="ListBullet"/>
      </w:pPr>
      <w:r>
        <w:t>UV-Vis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Analytical Chemist I</w:t>
        <w:br/>
        <w:t>NutraCore Labs | Momence, IL  —  1 years</w:t>
      </w:r>
    </w:p>
    <w:p>
      <w:pPr>
        <w:pStyle w:val="ListBullet"/>
      </w:pPr>
      <w:r>
        <w:t>Executed routine GC‑FID assays and assisted senior chemists with GC‑MS runs</w:t>
      </w:r>
    </w:p>
    <w:p>
      <w:pPr>
        <w:pStyle w:val="ListBullet"/>
      </w:pPr>
      <w:r>
        <w:t>Prepared reagents, labeled samples, and logged results under GLP supervision</w:t>
      </w:r>
    </w:p>
    <w:p>
      <w:pPr>
        <w:pStyle w:val="ListBullet"/>
      </w:pPr>
      <w:r>
        <w:t>Supported equipment cleaning, calibration checks, and inventory management</w:t>
      </w:r>
    </w:p>
    <w:p>
      <w:pPr>
        <w:spacing w:after="80"/>
      </w:pPr>
      <w:r>
        <w:t>QC Chemist</w:t>
        <w:br/>
        <w:t>Medigenix Biologics | Kankakee, IL  —  0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Chemistry – Purdue University Northwest, Hammond, IN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cGMP &amp; GLP (vendor training)</w:t>
      </w:r>
    </w:p>
    <w:p>
      <w:pPr>
        <w:pStyle w:val="ListBullet"/>
      </w:pPr>
      <w:r>
        <w:t>OSHA Laboratory Safety (24h)</w:t>
      </w:r>
    </w:p>
    <w:p>
      <w:pPr>
        <w:pStyle w:val="ListBullet"/>
      </w:pPr>
      <w:r>
        <w:t>Heartsaver First Aid/CPR/AED (AHA)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Reduced chromatographic runtime by 25% via column/gradient optimization</w:t>
      </w:r>
    </w:p>
    <w:p>
      <w:pPr>
        <w:pStyle w:val="ListBullet"/>
      </w:pPr>
      <w:r>
        <w:t>Designed GC-MS/MS MRM panel covering 120 pesticide residues</w:t>
      </w:r>
    </w:p>
    <w:p>
      <w:pPr>
        <w:pStyle w:val="ListBullet"/>
      </w:pPr>
      <w:r>
        <w:t>Piloted aqueous two‑phase extraction to improve recovery of polar analytes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Food Bank of Northwest Indiana – Merrillville, IN</w:t>
      </w:r>
    </w:p>
    <w:p>
      <w:pPr>
        <w:pStyle w:val="ListBullet"/>
      </w:pPr>
      <w:r>
        <w:t>Assistant Coach, Youth Baseball – Kankakee, 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