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Tyler Whitcombe</w:t>
      </w:r>
    </w:p>
    <w:p>
      <w:pPr>
        <w:spacing w:after="80"/>
      </w:pPr>
      <w:r>
        <w:t>Plainfield, IN • (312) 555-8191 • tylerwhitcombe52@icloud.com</w:t>
      </w:r>
    </w:p>
    <w:p>
      <w:pPr>
        <w:spacing w:after="80"/>
      </w:pPr>
      <w:r>
        <w:t>Job Role: Laboratory Supervisor • Experience: 15 years • Profile Tier: Advanced+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LC-MS (method support)</w:t>
      </w:r>
    </w:p>
    <w:p>
      <w:pPr>
        <w:pStyle w:val="ListBullet"/>
      </w:pPr>
      <w:r>
        <w:t>ICP-OES (exposure)</w:t>
      </w:r>
    </w:p>
    <w:p>
      <w:pPr>
        <w:pStyle w:val="ListBullet"/>
      </w:pPr>
      <w:r>
        <w:t>Karl Fischer</w:t>
      </w:r>
    </w:p>
    <w:p>
      <w:pPr>
        <w:pStyle w:val="ListBullet"/>
      </w:pPr>
      <w:r>
        <w:t>GC headspace</w:t>
      </w:r>
    </w:p>
    <w:p>
      <w:pPr>
        <w:pStyle w:val="ListBullet"/>
      </w:pPr>
      <w:r>
        <w:t>Empower CDS</w:t>
      </w:r>
    </w:p>
    <w:p>
      <w:pPr>
        <w:pStyle w:val="ListBullet"/>
      </w:pPr>
      <w:r>
        <w:t>ChemStation</w:t>
      </w:r>
    </w:p>
    <w:p>
      <w:pPr>
        <w:pStyle w:val="ListBullet"/>
      </w:pPr>
      <w:r>
        <w:t>MassHunter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Laboratory Supervisor</w:t>
        <w:br/>
        <w:t>Medigenix Biologics | Kankakee, IL  —  5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pStyle w:val="ListBullet"/>
      </w:pPr>
      <w:r>
        <w:t>Led small team for method transfers and robustness studies across sites</w:t>
      </w:r>
    </w:p>
    <w:p>
      <w:pPr>
        <w:pStyle w:val="ListBullet"/>
      </w:pPr>
      <w:r>
        <w:t>Implemented risk‑based sample prep workflow to reduce re‑runs</w:t>
      </w:r>
    </w:p>
    <w:p>
      <w:pPr>
        <w:spacing w:after="80"/>
      </w:pPr>
      <w:r>
        <w:t>QC Chemist</w:t>
        <w:br/>
        <w:t>Prairie Analytical Center | Lafayette, IN  —  5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Great Lakes Nutraceuticals | Chicago, IL  —  5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Chemistry – Indiana University Northwest, Gary, IN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ISO/IEC 17025 awareness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Piloted aqueous two‑phase extraction to improve recovery of polar analytes</w:t>
      </w:r>
    </w:p>
    <w:p>
      <w:pPr>
        <w:pStyle w:val="ListBullet"/>
      </w:pPr>
      <w:r>
        <w:t>Designed GC-MS/MS MRM panel covering 120 pesticide residues</w:t>
      </w:r>
    </w:p>
    <w:p>
      <w:pPr>
        <w:pStyle w:val="ListBullet"/>
      </w:pPr>
      <w:r>
        <w:t>Reduced chromatographic runtime by 25% via column/gradient optimization</w:t>
      </w:r>
    </w:p>
    <w:p>
      <w:pPr>
        <w:pStyle w:val="ListBullet"/>
      </w:pPr>
      <w:r>
        <w:t>Drafted 12+ SOPs for sample prep and instrument readiness checks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Assistant Coach, Youth Baseball – Kankakee, IL</w:t>
      </w:r>
    </w:p>
    <w:p>
      <w:pPr>
        <w:pStyle w:val="ListBullet"/>
      </w:pPr>
      <w:r>
        <w:t>STEM Mentor, High School Outreach – Chicago,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