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2E5596"/>
          <w:sz w:val="52"/>
          <w:szCs w:val="52"/>
        </w:rPr>
        <w:t xml:space="preserve">한국·미국 증시 종합 리서치 보고서</w:t>
      </w:r>
    </w:p>
    <w:p>
      <w:pPr>
        <w:spacing w:after="80" w:before="0"/>
        <w:jc w:val="center"/>
      </w:pPr>
      <w:r>
        <w:rPr>
          <w:rFonts w:ascii="Arial" w:cs="Arial" w:eastAsia="Arial" w:hAnsi="Arial"/>
          <w:color w:val="555555"/>
          <w:sz w:val="24"/>
          <w:szCs w:val="24"/>
        </w:rPr>
        <w:t xml:space="preserve">2026년 5월 4일 (월)  |  장 종료 기준</w:t>
      </w:r>
    </w:p>
    <w:p>
      <w:pPr>
        <w:spacing w:after="400" w:before="0"/>
        <w:jc w:val="center"/>
      </w:pPr>
      <w:r>
        <w:rPr>
          <w:rFonts w:ascii="Arial" w:cs="Arial" w:eastAsia="Arial" w:hAnsi="Arial"/>
          <w:color w:val="777777"/>
          <w:sz w:val="20"/>
          <w:szCs w:val="20"/>
        </w:rPr>
        <w:t xml:space="preserve">출처: 매일경제 · 이데일리 · 머니투데이 · 다음금융 · Yahoo Finance</w:t>
      </w:r>
    </w:p>
    <w:p>
      <w:r>
        <w:br w:type="page"/>
      </w:r>
    </w:p>
    <w:p>
      <w:pPr>
        <w:pStyle w:val="Heading1"/>
        <w:pBdr>
          <w:bottom w:val="single" w:color="2E5596" w:sz="6" w:space="1"/>
        </w:pBdr>
        <w:spacing w:after="160" w:before="320"/>
      </w:pPr>
      <w:r>
        <w:rPr>
          <w:rFonts w:ascii="Arial" w:cs="Arial" w:eastAsia="Arial" w:hAnsi="Arial"/>
          <w:b/>
          <w:bCs/>
          <w:color w:val="2E5596"/>
          <w:sz w:val="36"/>
          <w:szCs w:val="36"/>
        </w:rPr>
        <w:t xml:space="preserve">1. 🇰🇷 한국 증시 개요</w:t>
      </w:r>
    </w:p>
    <w:p>
      <w:pPr>
        <w:pStyle w:val="Heading2"/>
        <w:spacing w:after="120" w:before="240"/>
      </w:pPr>
      <w:r>
        <w:rPr>
          <w:rFonts w:ascii="Arial" w:cs="Arial" w:eastAsia="Arial" w:hAnsi="Arial"/>
          <w:b/>
          <w:bCs/>
          <w:color w:val="1A3C6E"/>
          <w:sz w:val="28"/>
          <w:szCs w:val="28"/>
        </w:rPr>
        <w:t xml:space="preserve">1-1. 주요 지수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986"/>
        <w:gridCol w:w="1986"/>
        <w:gridCol w:w="1986"/>
      </w:tblGrid>
      <w:tr>
        <w:tc>
          <w:tcPr>
            <w:tcW w:type="dxa" w:w="3069"/>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지수</w:t>
            </w:r>
          </w:p>
        </w:tc>
        <w:tc>
          <w:tcPr>
            <w:tcW w:type="dxa" w:w="1986"/>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현재가</w:t>
            </w:r>
          </w:p>
        </w:tc>
        <w:tc>
          <w:tcPr>
            <w:tcW w:type="dxa" w:w="1986"/>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등락폭</w:t>
            </w:r>
          </w:p>
        </w:tc>
        <w:tc>
          <w:tcPr>
            <w:tcW w:type="dxa" w:w="1986"/>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등락률</w:t>
            </w:r>
          </w:p>
        </w:tc>
      </w:tr>
      <w:tr>
        <w:tc>
          <w:tcPr>
            <w:tcW w:type="dxa" w:w="306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코스피</w:t>
            </w:r>
          </w:p>
        </w:tc>
        <w:tc>
          <w:tcPr>
            <w:tcW w:type="dxa" w:w="19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6,903.55</w:t>
            </w:r>
          </w:p>
        </w:tc>
        <w:tc>
          <w:tcPr>
            <w:tcW w:type="dxa" w:w="19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+304.68p</w:t>
            </w:r>
          </w:p>
        </w:tc>
        <w:tc>
          <w:tcPr>
            <w:tcW w:type="dxa" w:w="19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C0000"/>
                <w:sz w:val="20"/>
                <w:szCs w:val="20"/>
              </w:rPr>
              <w:t xml:space="preserve">+4.62%</w:t>
            </w:r>
          </w:p>
        </w:tc>
      </w:tr>
      <w:tr>
        <w:tc>
          <w:tcPr>
            <w:tcW w:type="dxa" w:w="3069"/>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코스닥</w:t>
            </w:r>
          </w:p>
        </w:tc>
        <w:tc>
          <w:tcPr>
            <w:tcW w:type="dxa" w:w="1986"/>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1,214.24</w:t>
            </w:r>
          </w:p>
        </w:tc>
        <w:tc>
          <w:tcPr>
            <w:tcW w:type="dxa" w:w="1986"/>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+21.89p</w:t>
            </w:r>
          </w:p>
        </w:tc>
        <w:tc>
          <w:tcPr>
            <w:tcW w:type="dxa" w:w="1986"/>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bCs/>
                <w:color w:val="CC0000"/>
                <w:sz w:val="20"/>
                <w:szCs w:val="20"/>
              </w:rPr>
              <w:t xml:space="preserve">+1.84%</w:t>
            </w:r>
          </w:p>
        </w:tc>
      </w:tr>
      <w:tr>
        <w:tc>
          <w:tcPr>
            <w:tcW w:type="dxa" w:w="306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코스피200</w:t>
            </w:r>
          </w:p>
        </w:tc>
        <w:tc>
          <w:tcPr>
            <w:tcW w:type="dxa" w:w="19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1,044.27</w:t>
            </w:r>
          </w:p>
        </w:tc>
        <w:tc>
          <w:tcPr>
            <w:tcW w:type="dxa" w:w="19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+52.10p</w:t>
            </w:r>
          </w:p>
        </w:tc>
        <w:tc>
          <w:tcPr>
            <w:tcW w:type="dxa" w:w="19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C0000"/>
                <w:sz w:val="20"/>
                <w:szCs w:val="20"/>
              </w:rPr>
              <w:t xml:space="preserve">+5.25%</w:t>
            </w:r>
          </w:p>
        </w:tc>
      </w:tr>
    </w:tbl>
    <w:p>
      <w:r>
        <w:rPr>
          <w:sz w:val="20"/>
          <w:szCs w:val="20"/>
        </w:rPr>
        <w:t xml:space="preserve"/>
      </w:r>
    </w:p>
    <w:p>
      <w:pPr>
        <w:spacing w:after="80" w:before="80"/>
      </w:pPr>
      <w:r>
        <w:rPr>
          <w:rFonts w:ascii="Arial" w:cs="Arial" w:eastAsia="Arial" w:hAnsi="Arial"/>
          <w:b w:val="false"/>
          <w:bCs w:val="false"/>
          <w:color w:val="000000"/>
          <w:sz w:val="22"/>
          <w:szCs w:val="22"/>
        </w:rPr>
        <w:t xml:space="preserve">코스피가 +4.62%의 강력한 상승으로 장중 6,900선을 돌파했습니다. 반도체 슈퍼 사이클 본격화와 외국인·기관의 동반 매수가 주도했습니다.</w:t>
      </w:r>
    </w:p>
    <w:p>
      <w:r>
        <w:rPr>
          <w:sz w:val="20"/>
          <w:szCs w:val="20"/>
        </w:rPr>
        <w:t xml:space="preserve"/>
      </w:r>
    </w:p>
    <w:p>
      <w:pPr>
        <w:pStyle w:val="Heading2"/>
        <w:spacing w:after="120" w:before="240"/>
      </w:pPr>
      <w:r>
        <w:rPr>
          <w:rFonts w:ascii="Arial" w:cs="Arial" w:eastAsia="Arial" w:hAnsi="Arial"/>
          <w:b/>
          <w:bCs/>
          <w:color w:val="1A3C6E"/>
          <w:sz w:val="28"/>
          <w:szCs w:val="28"/>
        </w:rPr>
        <w:t xml:space="preserve">1-2. 투자자별 매매동향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구분</w:t>
            </w:r>
          </w:p>
        </w:tc>
        <w:tc>
          <w:tcPr>
            <w:tcW w:type="dxa" w:w="1805"/>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외국인</w:t>
            </w:r>
          </w:p>
        </w:tc>
        <w:tc>
          <w:tcPr>
            <w:tcW w:type="dxa" w:w="1805"/>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기관</w:t>
            </w:r>
          </w:p>
        </w:tc>
        <w:tc>
          <w:tcPr>
            <w:tcW w:type="dxa" w:w="1805"/>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개인</w:t>
            </w:r>
          </w:p>
        </w:tc>
        <w:tc>
          <w:tcPr>
            <w:tcW w:type="dxa" w:w="1805"/>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프로그램</w:t>
            </w:r>
          </w:p>
        </w:tc>
      </w:tr>
      <w:tr>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코스피(억원)</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+23,840</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+14,335</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CC"/>
                <w:sz w:val="20"/>
                <w:szCs w:val="20"/>
              </w:rPr>
              <w:t xml:space="preserve">-37,408</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+21,636</w:t>
            </w:r>
          </w:p>
        </w:tc>
      </w:tr>
      <w:tr>
        <w:tc>
          <w:tcPr>
            <w:tcW w:type="dxa" w:w="1805"/>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코스닥(억원)</w:t>
            </w:r>
          </w:p>
        </w:tc>
        <w:tc>
          <w:tcPr>
            <w:tcW w:type="dxa" w:w="1805"/>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+5,365</w:t>
            </w:r>
          </w:p>
        </w:tc>
        <w:tc>
          <w:tcPr>
            <w:tcW w:type="dxa" w:w="1805"/>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0000CC"/>
                <w:sz w:val="20"/>
                <w:szCs w:val="20"/>
              </w:rPr>
              <w:t xml:space="preserve">-227</w:t>
            </w:r>
          </w:p>
        </w:tc>
        <w:tc>
          <w:tcPr>
            <w:tcW w:type="dxa" w:w="1805"/>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0000CC"/>
                <w:sz w:val="20"/>
                <w:szCs w:val="20"/>
              </w:rPr>
              <w:t xml:space="preserve">-4,871</w:t>
            </w:r>
          </w:p>
        </w:tc>
        <w:tc>
          <w:tcPr>
            <w:tcW w:type="dxa" w:w="1805"/>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+5,674</w:t>
            </w:r>
          </w:p>
        </w:tc>
      </w:tr>
    </w:tbl>
    <w:p>
      <w:r>
        <w:rPr>
          <w:sz w:val="20"/>
          <w:szCs w:val="20"/>
        </w:rPr>
        <w:t xml:space="preserve"/>
      </w:r>
    </w:p>
    <w:p>
      <w:pPr>
        <w:spacing w:after="80" w:before="80"/>
      </w:pPr>
      <w:r>
        <w:rPr>
          <w:rFonts w:ascii="Arial" w:cs="Arial" w:eastAsia="Arial" w:hAnsi="Arial"/>
          <w:b w:val="false"/>
          <w:bCs w:val="false"/>
          <w:color w:val="000000"/>
          <w:sz w:val="22"/>
          <w:szCs w:val="22"/>
        </w:rPr>
        <w:t xml:space="preserve">외국인이 코스피에서만 2조 3,840억원을 순매수하는 강력한 매수세를 보였습니다. 기관도 1조 4,335억원을 순매수한 반면 개인은 3조 7,408억원을 순매도했습니다.</w:t>
      </w:r>
    </w:p>
    <w:p>
      <w:r>
        <w:rPr>
          <w:sz w:val="20"/>
          <w:szCs w:val="20"/>
        </w:rPr>
        <w:t xml:space="preserve"/>
      </w:r>
    </w:p>
    <w:p>
      <w:pPr>
        <w:pStyle w:val="Heading2"/>
        <w:spacing w:after="120" w:before="240"/>
      </w:pPr>
      <w:r>
        <w:rPr>
          <w:rFonts w:ascii="Arial" w:cs="Arial" w:eastAsia="Arial" w:hAnsi="Arial"/>
          <w:b/>
          <w:bCs/>
          <w:color w:val="1A3C6E"/>
          <w:sz w:val="28"/>
          <w:szCs w:val="28"/>
        </w:rPr>
        <w:t xml:space="preserve">1-3. 업종별 등락률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상승 업종 Top5</w:t>
            </w:r>
          </w:p>
        </w:tc>
        <w:tc>
          <w:tcPr>
            <w:tcW w:type="dxa" w:w="4513"/>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하락/부진 업종</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복합기업 +9.18%</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화학 (상승폭 하위)</w:t>
            </w:r>
          </w:p>
        </w:tc>
      </w:tr>
      <w:tr>
        <w:tc>
          <w:tcPr>
            <w:tcW w:type="dxa" w:w="4513"/>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증권 +8.86%</w:t>
            </w:r>
          </w:p>
        </w:tc>
        <w:tc>
          <w:tcPr>
            <w:tcW w:type="dxa" w:w="4513"/>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게임엔터테인먼트 (상승폭 하위)</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생명보험 +7.33%</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철강 (상승폭 하위)</w:t>
            </w:r>
          </w:p>
        </w:tc>
      </w:tr>
      <w:tr>
        <w:tc>
          <w:tcPr>
            <w:tcW w:type="dxa" w:w="4513"/>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전기장비 +7.26%</w:t>
            </w:r>
          </w:p>
        </w:tc>
        <w:tc>
          <w:tcPr>
            <w:tcW w:type="dxa" w:w="4513"/>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전자장비와기기 (상승폭 하위)</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반도체 +7.02%</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통신장비 (상승폭 하위)</w:t>
            </w:r>
          </w:p>
        </w:tc>
      </w:tr>
    </w:tbl>
    <w:p>
      <w:r>
        <w:rPr>
          <w:sz w:val="20"/>
          <w:szCs w:val="20"/>
        </w:rPr>
        <w:t xml:space="preserve"/>
      </w:r>
    </w:p>
    <w:p>
      <w:pPr>
        <w:pStyle w:val="Heading2"/>
        <w:spacing w:after="120" w:before="240"/>
      </w:pPr>
      <w:r>
        <w:rPr>
          <w:rFonts w:ascii="Arial" w:cs="Arial" w:eastAsia="Arial" w:hAnsi="Arial"/>
          <w:b/>
          <w:bCs/>
          <w:color w:val="1A3C6E"/>
          <w:sz w:val="28"/>
          <w:szCs w:val="28"/>
        </w:rPr>
        <w:t xml:space="preserve">1-4. 상승률 상위 종목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2708"/>
        <w:gridCol w:w="1354"/>
        <w:gridCol w:w="903"/>
        <w:gridCol w:w="2708"/>
        <w:gridCol w:w="1354"/>
      </w:tblGrid>
      <w:tr>
        <w:tc>
          <w:tcPr>
            <w:tcW w:type="dxa" w:w="903"/>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순위</w:t>
            </w:r>
          </w:p>
        </w:tc>
        <w:tc>
          <w:tcPr>
            <w:tcW w:type="dxa" w:w="2708"/>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코스피</w:t>
            </w:r>
          </w:p>
        </w:tc>
        <w:tc>
          <w:tcPr>
            <w:tcW w:type="dxa" w:w="1354"/>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등락률</w:t>
            </w:r>
          </w:p>
        </w:tc>
        <w:tc>
          <w:tcPr>
            <w:tcW w:type="dxa" w:w="903"/>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순위</w:t>
            </w:r>
          </w:p>
        </w:tc>
        <w:tc>
          <w:tcPr>
            <w:tcW w:type="dxa" w:w="2708"/>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코스닥</w:t>
            </w:r>
          </w:p>
        </w:tc>
        <w:tc>
          <w:tcPr>
            <w:tcW w:type="dxa" w:w="1354"/>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등락률</w:t>
            </w:r>
          </w:p>
        </w:tc>
      </w:tr>
      <w:tr>
        <w:tc>
          <w:tcPr>
            <w:tcW w:type="dxa" w:w="90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7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대원전선우</w:t>
            </w:r>
          </w:p>
        </w:tc>
        <w:tc>
          <w:tcPr>
            <w:tcW w:type="dxa" w:w="135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+29.98%</w:t>
            </w:r>
          </w:p>
        </w:tc>
        <w:tc>
          <w:tcPr>
            <w:tcW w:type="dxa" w:w="90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7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KBI메탈</w:t>
            </w:r>
          </w:p>
        </w:tc>
        <w:tc>
          <w:tcPr>
            <w:tcW w:type="dxa" w:w="135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+30.00%</w:t>
            </w:r>
          </w:p>
        </w:tc>
      </w:tr>
      <w:tr>
        <w:tc>
          <w:tcPr>
            <w:tcW w:type="dxa" w:w="903"/>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2708"/>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선도전기</w:t>
            </w:r>
          </w:p>
        </w:tc>
        <w:tc>
          <w:tcPr>
            <w:tcW w:type="dxa" w:w="1354"/>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+29.94%</w:t>
            </w:r>
          </w:p>
        </w:tc>
        <w:tc>
          <w:tcPr>
            <w:tcW w:type="dxa" w:w="903"/>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2708"/>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케스피온</w:t>
            </w:r>
          </w:p>
        </w:tc>
        <w:tc>
          <w:tcPr>
            <w:tcW w:type="dxa" w:w="1354"/>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+30.00%</w:t>
            </w:r>
          </w:p>
        </w:tc>
      </w:tr>
      <w:tr>
        <w:tc>
          <w:tcPr>
            <w:tcW w:type="dxa" w:w="90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27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삼성증권</w:t>
            </w:r>
          </w:p>
        </w:tc>
        <w:tc>
          <w:tcPr>
            <w:tcW w:type="dxa" w:w="135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+29.49%</w:t>
            </w:r>
          </w:p>
        </w:tc>
        <w:tc>
          <w:tcPr>
            <w:tcW w:type="dxa" w:w="90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27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오로스테크놀로지</w:t>
            </w:r>
          </w:p>
        </w:tc>
        <w:tc>
          <w:tcPr>
            <w:tcW w:type="dxa" w:w="135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+30.00%</w:t>
            </w:r>
          </w:p>
        </w:tc>
      </w:tr>
      <w:tr>
        <w:tc>
          <w:tcPr>
            <w:tcW w:type="dxa" w:w="903"/>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2708"/>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일진홀딩스</w:t>
            </w:r>
          </w:p>
        </w:tc>
        <w:tc>
          <w:tcPr>
            <w:tcW w:type="dxa" w:w="1354"/>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+27.42%</w:t>
            </w:r>
          </w:p>
        </w:tc>
        <w:tc>
          <w:tcPr>
            <w:tcW w:type="dxa" w:w="903"/>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2708"/>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프로이천</w:t>
            </w:r>
          </w:p>
        </w:tc>
        <w:tc>
          <w:tcPr>
            <w:tcW w:type="dxa" w:w="1354"/>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+29.98%</w:t>
            </w:r>
          </w:p>
        </w:tc>
      </w:tr>
      <w:tr>
        <w:tc>
          <w:tcPr>
            <w:tcW w:type="dxa" w:w="90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27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산일전기</w:t>
            </w:r>
          </w:p>
        </w:tc>
        <w:tc>
          <w:tcPr>
            <w:tcW w:type="dxa" w:w="135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+23.31%</w:t>
            </w:r>
          </w:p>
        </w:tc>
        <w:tc>
          <w:tcPr>
            <w:tcW w:type="dxa" w:w="90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27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서울바이오시스</w:t>
            </w:r>
          </w:p>
        </w:tc>
        <w:tc>
          <w:tcPr>
            <w:tcW w:type="dxa" w:w="135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+29.98%</w:t>
            </w:r>
          </w:p>
        </w:tc>
      </w:tr>
    </w:tbl>
    <w:p>
      <w:r>
        <w:rPr>
          <w:sz w:val="20"/>
          <w:szCs w:val="20"/>
        </w:rPr>
        <w:t xml:space="preserve"/>
      </w:r>
    </w:p>
    <w:p>
      <w:pPr>
        <w:pStyle w:val="Heading2"/>
        <w:spacing w:after="120" w:before="240"/>
      </w:pPr>
      <w:r>
        <w:rPr>
          <w:rFonts w:ascii="Arial" w:cs="Arial" w:eastAsia="Arial" w:hAnsi="Arial"/>
          <w:b/>
          <w:bCs/>
          <w:color w:val="1A3C6E"/>
          <w:sz w:val="28"/>
          <w:szCs w:val="28"/>
        </w:rPr>
        <w:t xml:space="preserve">1-5. 외국인·기관 순매수 종목</w:t>
      </w:r>
    </w:p>
    <w:p>
      <w:pPr>
        <w:spacing w:after="80" w:before="80"/>
      </w:pPr>
      <w:r>
        <w:rPr>
          <w:rFonts w:ascii="Arial" w:cs="Arial" w:eastAsia="Arial" w:hAnsi="Arial"/>
          <w:b/>
          <w:bCs/>
          <w:color w:val="000000"/>
          <w:sz w:val="22"/>
          <w:szCs w:val="22"/>
        </w:rPr>
        <w:t xml:space="preserve">외국인 순매수 (코스피):</w:t>
      </w:r>
    </w:p>
    <w:p>
      <w:pPr>
        <w:pStyle w:val="ListParagraph"/>
        <w:numPr>
          <w:ilvl w:val="0"/>
          <w:numId w:val="2"/>
        </w:numPr>
        <w:spacing w:after="60" w:before="60"/>
      </w:pPr>
      <w:r>
        <w:rPr>
          <w:rFonts w:ascii="Arial" w:cs="Arial" w:eastAsia="Arial" w:hAnsi="Arial"/>
          <w:sz w:val="22"/>
          <w:szCs w:val="22"/>
        </w:rPr>
        <w:t xml:space="preserve">한미반도체 (+2.17%)</w:t>
      </w:r>
    </w:p>
    <w:p>
      <w:pPr>
        <w:pStyle w:val="ListParagraph"/>
        <w:numPr>
          <w:ilvl w:val="0"/>
          <w:numId w:val="2"/>
        </w:numPr>
        <w:spacing w:after="60" w:before="60"/>
      </w:pPr>
      <w:r>
        <w:rPr>
          <w:rFonts w:ascii="Arial" w:cs="Arial" w:eastAsia="Arial" w:hAnsi="Arial"/>
          <w:sz w:val="22"/>
          <w:szCs w:val="22"/>
        </w:rPr>
        <w:t xml:space="preserve">TIGER MSCI Korea TR (+5.06%)</w:t>
      </w:r>
    </w:p>
    <w:p>
      <w:pPr>
        <w:pStyle w:val="ListParagraph"/>
        <w:numPr>
          <w:ilvl w:val="0"/>
          <w:numId w:val="2"/>
        </w:numPr>
        <w:spacing w:after="60" w:before="60"/>
      </w:pPr>
      <w:r>
        <w:rPr>
          <w:rFonts w:ascii="Arial" w:cs="Arial" w:eastAsia="Arial" w:hAnsi="Arial"/>
          <w:sz w:val="22"/>
          <w:szCs w:val="22"/>
        </w:rPr>
        <w:t xml:space="preserve">한화솔루션 (-0.59%)</w:t>
      </w:r>
    </w:p>
    <w:p>
      <w:pPr>
        <w:pStyle w:val="ListParagraph"/>
        <w:numPr>
          <w:ilvl w:val="0"/>
          <w:numId w:val="2"/>
        </w:numPr>
        <w:spacing w:after="60" w:before="60"/>
      </w:pPr>
      <w:r>
        <w:rPr>
          <w:rFonts w:ascii="Arial" w:cs="Arial" w:eastAsia="Arial" w:hAnsi="Arial"/>
          <w:sz w:val="22"/>
          <w:szCs w:val="22"/>
        </w:rPr>
        <w:t xml:space="preserve">현대로템 (-0.37%)</w:t>
      </w:r>
    </w:p>
    <w:p>
      <w:pPr>
        <w:pStyle w:val="ListParagraph"/>
        <w:numPr>
          <w:ilvl w:val="0"/>
          <w:numId w:val="2"/>
        </w:numPr>
        <w:spacing w:after="60" w:before="60"/>
      </w:pPr>
      <w:r>
        <w:rPr>
          <w:rFonts w:ascii="Arial" w:cs="Arial" w:eastAsia="Arial" w:hAnsi="Arial"/>
          <w:sz w:val="22"/>
          <w:szCs w:val="22"/>
        </w:rPr>
        <w:t xml:space="preserve">한화비전 (+3.71%)</w:t>
      </w:r>
    </w:p>
    <w:p>
      <w:r>
        <w:rPr>
          <w:sz w:val="20"/>
          <w:szCs w:val="20"/>
        </w:rPr>
        <w:t xml:space="preserve"/>
      </w:r>
    </w:p>
    <w:p>
      <w:pPr>
        <w:spacing w:after="80" w:before="80"/>
      </w:pPr>
      <w:r>
        <w:rPr>
          <w:rFonts w:ascii="Arial" w:cs="Arial" w:eastAsia="Arial" w:hAnsi="Arial"/>
          <w:b/>
          <w:bCs/>
          <w:color w:val="000000"/>
          <w:sz w:val="22"/>
          <w:szCs w:val="22"/>
        </w:rPr>
        <w:t xml:space="preserve">기관 순매수 (코스피):</w:t>
      </w:r>
    </w:p>
    <w:p>
      <w:pPr>
        <w:pStyle w:val="ListParagraph"/>
        <w:numPr>
          <w:ilvl w:val="0"/>
          <w:numId w:val="2"/>
        </w:numPr>
        <w:spacing w:after="60" w:before="60"/>
      </w:pPr>
      <w:r>
        <w:rPr>
          <w:rFonts w:ascii="Arial" w:cs="Arial" w:eastAsia="Arial" w:hAnsi="Arial"/>
          <w:sz w:val="22"/>
          <w:szCs w:val="22"/>
        </w:rPr>
        <w:t xml:space="preserve">SK하이닉스 (+11.90%) — 시가총액 1,000조 돌파, 신고가 경신</w:t>
      </w:r>
    </w:p>
    <w:p>
      <w:pPr>
        <w:pStyle w:val="ListParagraph"/>
        <w:numPr>
          <w:ilvl w:val="0"/>
          <w:numId w:val="2"/>
        </w:numPr>
        <w:spacing w:after="60" w:before="60"/>
      </w:pPr>
      <w:r>
        <w:rPr>
          <w:rFonts w:ascii="Arial" w:cs="Arial" w:eastAsia="Arial" w:hAnsi="Arial"/>
          <w:sz w:val="22"/>
          <w:szCs w:val="22"/>
        </w:rPr>
        <w:t xml:space="preserve">한화에어로스페이스 (+3.39%)</w:t>
      </w:r>
    </w:p>
    <w:p>
      <w:pPr>
        <w:pStyle w:val="ListParagraph"/>
        <w:numPr>
          <w:ilvl w:val="0"/>
          <w:numId w:val="2"/>
        </w:numPr>
        <w:spacing w:after="60" w:before="60"/>
      </w:pPr>
      <w:r>
        <w:rPr>
          <w:rFonts w:ascii="Arial" w:cs="Arial" w:eastAsia="Arial" w:hAnsi="Arial"/>
          <w:sz w:val="22"/>
          <w:szCs w:val="22"/>
        </w:rPr>
        <w:t xml:space="preserve">LS ELECTRIC (+5.22%)</w:t>
      </w:r>
    </w:p>
    <w:p>
      <w:pPr>
        <w:pStyle w:val="ListParagraph"/>
        <w:numPr>
          <w:ilvl w:val="0"/>
          <w:numId w:val="2"/>
        </w:numPr>
        <w:spacing w:after="60" w:before="60"/>
      </w:pPr>
      <w:r>
        <w:rPr>
          <w:rFonts w:ascii="Arial" w:cs="Arial" w:eastAsia="Arial" w:hAnsi="Arial"/>
          <w:sz w:val="22"/>
          <w:szCs w:val="22"/>
        </w:rPr>
        <w:t xml:space="preserve">HD현대일렉트릭 (+3.27%)</w:t>
      </w:r>
    </w:p>
    <w:p>
      <w:r>
        <w:br w:type="page"/>
      </w:r>
    </w:p>
    <w:p>
      <w:pPr>
        <w:pStyle w:val="Heading1"/>
        <w:pBdr>
          <w:bottom w:val="single" w:color="2E5596" w:sz="6" w:space="1"/>
        </w:pBdr>
        <w:spacing w:after="160" w:before="320"/>
      </w:pPr>
      <w:r>
        <w:rPr>
          <w:rFonts w:ascii="Arial" w:cs="Arial" w:eastAsia="Arial" w:hAnsi="Arial"/>
          <w:b/>
          <w:bCs/>
          <w:color w:val="2E5596"/>
          <w:sz w:val="36"/>
          <w:szCs w:val="36"/>
        </w:rPr>
        <w:t xml:space="preserve">2. 🏢 주요 기업 실적 &amp; 뉴스</w:t>
      </w:r>
    </w:p>
    <w:p>
      <w:pPr>
        <w:pStyle w:val="Heading2"/>
        <w:spacing w:after="120" w:before="240"/>
      </w:pPr>
      <w:r>
        <w:rPr>
          <w:rFonts w:ascii="Arial" w:cs="Arial" w:eastAsia="Arial" w:hAnsi="Arial"/>
          <w:b/>
          <w:bCs/>
          <w:color w:val="1A3C6E"/>
          <w:sz w:val="28"/>
          <w:szCs w:val="28"/>
        </w:rPr>
        <w:t xml:space="preserve">반도체</w:t>
      </w:r>
    </w:p>
    <w:p>
      <w:pPr>
        <w:pStyle w:val="ListParagraph"/>
        <w:numPr>
          <w:ilvl w:val="0"/>
          <w:numId w:val="2"/>
        </w:numPr>
        <w:spacing w:after="60" w:before="60"/>
      </w:pPr>
      <w:r>
        <w:rPr>
          <w:rFonts w:ascii="Arial" w:cs="Arial" w:eastAsia="Arial" w:hAnsi="Arial"/>
          <w:sz w:val="22"/>
          <w:szCs w:val="22"/>
        </w:rPr>
        <w:t xml:space="preserve">SK하이닉스: 장중 140만원 돌파, 사상 첫 시가총액 1,000조원 돌파. 메모리 수요 재확인으로 반도체 슈퍼 사이클 본격화 평가</w:t>
      </w:r>
    </w:p>
    <w:p>
      <w:pPr>
        <w:pStyle w:val="ListParagraph"/>
        <w:numPr>
          <w:ilvl w:val="0"/>
          <w:numId w:val="2"/>
        </w:numPr>
        <w:spacing w:after="60" w:before="60"/>
      </w:pPr>
      <w:r>
        <w:rPr>
          <w:rFonts w:ascii="Arial" w:cs="Arial" w:eastAsia="Arial" w:hAnsi="Arial"/>
          <w:sz w:val="22"/>
          <w:szCs w:val="22"/>
        </w:rPr>
        <w:t xml:space="preserve">삼성전자: 229,000원 (+3.85%) 강세. 노조 파업 리스크 경고 리포트 등장, 목표가 하향 검토 일부 증권사</w:t>
      </w:r>
    </w:p>
    <w:p>
      <w:pPr>
        <w:pStyle w:val="ListParagraph"/>
        <w:numPr>
          <w:ilvl w:val="0"/>
          <w:numId w:val="2"/>
        </w:numPr>
        <w:spacing w:after="60" w:before="60"/>
      </w:pPr>
      <w:r>
        <w:rPr>
          <w:rFonts w:ascii="Arial" w:cs="Arial" w:eastAsia="Arial" w:hAnsi="Arial"/>
          <w:sz w:val="22"/>
          <w:szCs w:val="22"/>
        </w:rPr>
        <w:t xml:space="preserve">반도체 업종 기여도: SK하이닉스 96포인트, 삼성전자 56포인트로 코스피 상승 견인</w:t>
      </w:r>
    </w:p>
    <w:p>
      <w:r>
        <w:rPr>
          <w:sz w:val="20"/>
          <w:szCs w:val="20"/>
        </w:rPr>
        <w:t xml:space="preserve"/>
      </w:r>
    </w:p>
    <w:p>
      <w:pPr>
        <w:pStyle w:val="Heading2"/>
        <w:spacing w:after="120" w:before="240"/>
      </w:pPr>
      <w:r>
        <w:rPr>
          <w:rFonts w:ascii="Arial" w:cs="Arial" w:eastAsia="Arial" w:hAnsi="Arial"/>
          <w:b/>
          <w:bCs/>
          <w:color w:val="1A3C6E"/>
          <w:sz w:val="28"/>
          <w:szCs w:val="28"/>
        </w:rPr>
        <w:t xml:space="preserve">증권·금융</w:t>
      </w:r>
    </w:p>
    <w:p>
      <w:pPr>
        <w:pStyle w:val="ListParagraph"/>
        <w:numPr>
          <w:ilvl w:val="0"/>
          <w:numId w:val="2"/>
        </w:numPr>
        <w:spacing w:after="60" w:before="60"/>
      </w:pPr>
      <w:r>
        <w:rPr>
          <w:rFonts w:ascii="Arial" w:cs="Arial" w:eastAsia="Arial" w:hAnsi="Arial"/>
          <w:sz w:val="22"/>
          <w:szCs w:val="22"/>
        </w:rPr>
        <w:t xml:space="preserve">삼성증권: +29.49% 급등 (상한가 근접)</w:t>
      </w:r>
    </w:p>
    <w:p>
      <w:pPr>
        <w:pStyle w:val="ListParagraph"/>
        <w:numPr>
          <w:ilvl w:val="0"/>
          <w:numId w:val="2"/>
        </w:numPr>
        <w:spacing w:after="60" w:before="60"/>
      </w:pPr>
      <w:r>
        <w:rPr>
          <w:rFonts w:ascii="Arial" w:cs="Arial" w:eastAsia="Arial" w:hAnsi="Arial"/>
          <w:sz w:val="22"/>
          <w:szCs w:val="22"/>
        </w:rPr>
        <w:t xml:space="preserve">유진증권: +10% 급등</w:t>
      </w:r>
    </w:p>
    <w:p>
      <w:pPr>
        <w:pStyle w:val="ListParagraph"/>
        <w:numPr>
          <w:ilvl w:val="0"/>
          <w:numId w:val="2"/>
        </w:numPr>
        <w:spacing w:after="60" w:before="60"/>
      </w:pPr>
      <w:r>
        <w:rPr>
          <w:rFonts w:ascii="Arial" w:cs="Arial" w:eastAsia="Arial" w:hAnsi="Arial"/>
          <w:sz w:val="22"/>
          <w:szCs w:val="22"/>
        </w:rPr>
        <w:t xml:space="preserve">증권주 전반 강세: 금리인상 가능성과 거래대금 증가 기대 반영</w:t>
      </w:r>
    </w:p>
    <w:p>
      <w:r>
        <w:rPr>
          <w:sz w:val="20"/>
          <w:szCs w:val="20"/>
        </w:rPr>
        <w:t xml:space="preserve"/>
      </w:r>
    </w:p>
    <w:p>
      <w:pPr>
        <w:pStyle w:val="Heading2"/>
        <w:spacing w:after="120" w:before="240"/>
      </w:pPr>
      <w:r>
        <w:rPr>
          <w:rFonts w:ascii="Arial" w:cs="Arial" w:eastAsia="Arial" w:hAnsi="Arial"/>
          <w:b/>
          <w:bCs/>
          <w:color w:val="1A3C6E"/>
          <w:sz w:val="28"/>
          <w:szCs w:val="28"/>
        </w:rPr>
        <w:t xml:space="preserve">미국 기업 주요 이슈</w:t>
      </w:r>
    </w:p>
    <w:p>
      <w:pPr>
        <w:pStyle w:val="ListParagraph"/>
        <w:numPr>
          <w:ilvl w:val="0"/>
          <w:numId w:val="2"/>
        </w:numPr>
        <w:spacing w:after="60" w:before="60"/>
      </w:pPr>
      <w:r>
        <w:rPr>
          <w:rFonts w:ascii="Arial" w:cs="Arial" w:eastAsia="Arial" w:hAnsi="Arial"/>
          <w:sz w:val="22"/>
          <w:szCs w:val="22"/>
        </w:rPr>
        <w:t xml:space="preserve">GameStop: eBay에 560억 달러 규모 미수금 인수 제안 (GME +6.33%, EBAY +0.57%)</w:t>
      </w:r>
    </w:p>
    <w:p>
      <w:pPr>
        <w:pStyle w:val="ListParagraph"/>
        <w:numPr>
          <w:ilvl w:val="0"/>
          <w:numId w:val="2"/>
        </w:numPr>
        <w:spacing w:after="60" w:before="60"/>
      </w:pPr>
      <w:r>
        <w:rPr>
          <w:rFonts w:ascii="Arial" w:cs="Arial" w:eastAsia="Arial" w:hAnsi="Arial"/>
          <w:sz w:val="22"/>
          <w:szCs w:val="22"/>
        </w:rPr>
        <w:t xml:space="preserve">팔란티어·AMD·이온큐: 1분기 실적 발표 임박, 시장 기대감 형성</w:t>
      </w:r>
    </w:p>
    <w:p>
      <w:pPr>
        <w:pStyle w:val="ListParagraph"/>
        <w:numPr>
          <w:ilvl w:val="0"/>
          <w:numId w:val="2"/>
        </w:numPr>
        <w:spacing w:after="60" w:before="60"/>
      </w:pPr>
      <w:r>
        <w:rPr>
          <w:rFonts w:ascii="Arial" w:cs="Arial" w:eastAsia="Arial" w:hAnsi="Arial"/>
          <w:sz w:val="22"/>
          <w:szCs w:val="22"/>
        </w:rPr>
        <w:t xml:space="preserve">삼성전자 글로벌 TV 부문: 구글 마케팅 출신 신임 사장 발탁</w:t>
      </w:r>
    </w:p>
    <w:p>
      <w:r>
        <w:br w:type="page"/>
      </w:r>
    </w:p>
    <w:p>
      <w:pPr>
        <w:pStyle w:val="Heading1"/>
        <w:pBdr>
          <w:bottom w:val="single" w:color="2E5596" w:sz="6" w:space="1"/>
        </w:pBdr>
        <w:spacing w:after="160" w:before="320"/>
      </w:pPr>
      <w:r>
        <w:rPr>
          <w:rFonts w:ascii="Arial" w:cs="Arial" w:eastAsia="Arial" w:hAnsi="Arial"/>
          <w:b/>
          <w:bCs/>
          <w:color w:val="2E5596"/>
          <w:sz w:val="36"/>
          <w:szCs w:val="36"/>
        </w:rPr>
        <w:t xml:space="preserve">3. 🇺🇸 미국 증시 개요</w:t>
      </w:r>
    </w:p>
    <w:p>
      <w:pPr>
        <w:pStyle w:val="Heading2"/>
        <w:spacing w:after="120" w:before="240"/>
      </w:pPr>
      <w:r>
        <w:rPr>
          <w:rFonts w:ascii="Arial" w:cs="Arial" w:eastAsia="Arial" w:hAnsi="Arial"/>
          <w:b/>
          <w:bCs/>
          <w:color w:val="1A3C6E"/>
          <w:sz w:val="28"/>
          <w:szCs w:val="28"/>
        </w:rPr>
        <w:t xml:space="preserve">3-1. 주요 지수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986"/>
        <w:gridCol w:w="1986"/>
        <w:gridCol w:w="1986"/>
      </w:tblGrid>
      <w:tr>
        <w:tc>
          <w:tcPr>
            <w:tcW w:type="dxa" w:w="3069"/>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지수</w:t>
            </w:r>
          </w:p>
        </w:tc>
        <w:tc>
          <w:tcPr>
            <w:tcW w:type="dxa" w:w="1986"/>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현재가</w:t>
            </w:r>
          </w:p>
        </w:tc>
        <w:tc>
          <w:tcPr>
            <w:tcW w:type="dxa" w:w="1986"/>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등락</w:t>
            </w:r>
          </w:p>
        </w:tc>
        <w:tc>
          <w:tcPr>
            <w:tcW w:type="dxa" w:w="1986"/>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등락률</w:t>
            </w:r>
          </w:p>
        </w:tc>
      </w:tr>
      <w:tr>
        <w:tc>
          <w:tcPr>
            <w:tcW w:type="dxa" w:w="306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S&amp;P 500</w:t>
            </w:r>
          </w:p>
        </w:tc>
        <w:tc>
          <w:tcPr>
            <w:tcW w:type="dxa" w:w="19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7,230.12</w:t>
            </w:r>
          </w:p>
        </w:tc>
        <w:tc>
          <w:tcPr>
            <w:tcW w:type="dxa" w:w="19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+20.80p</w:t>
            </w:r>
          </w:p>
        </w:tc>
        <w:tc>
          <w:tcPr>
            <w:tcW w:type="dxa" w:w="19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C0000"/>
                <w:sz w:val="20"/>
                <w:szCs w:val="20"/>
              </w:rPr>
              <w:t xml:space="preserve">+0.29%</w:t>
            </w:r>
          </w:p>
        </w:tc>
      </w:tr>
      <w:tr>
        <w:tc>
          <w:tcPr>
            <w:tcW w:type="dxa" w:w="3069"/>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나스닥</w:t>
            </w:r>
          </w:p>
        </w:tc>
        <w:tc>
          <w:tcPr>
            <w:tcW w:type="dxa" w:w="1986"/>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25,114.44</w:t>
            </w:r>
          </w:p>
        </w:tc>
        <w:tc>
          <w:tcPr>
            <w:tcW w:type="dxa" w:w="1986"/>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+222.08p</w:t>
            </w:r>
          </w:p>
        </w:tc>
        <w:tc>
          <w:tcPr>
            <w:tcW w:type="dxa" w:w="1986"/>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bCs/>
                <w:color w:val="CC0000"/>
                <w:sz w:val="20"/>
                <w:szCs w:val="20"/>
              </w:rPr>
              <w:t xml:space="preserve">+0.89%</w:t>
            </w:r>
          </w:p>
        </w:tc>
      </w:tr>
      <w:tr>
        <w:tc>
          <w:tcPr>
            <w:tcW w:type="dxa" w:w="306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다우존스</w:t>
            </w:r>
          </w:p>
        </w:tc>
        <w:tc>
          <w:tcPr>
            <w:tcW w:type="dxa" w:w="19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49,499.27</w:t>
            </w:r>
          </w:p>
        </w:tc>
        <w:tc>
          <w:tcPr>
            <w:tcW w:type="dxa" w:w="19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+153.45p</w:t>
            </w:r>
          </w:p>
        </w:tc>
        <w:tc>
          <w:tcPr>
            <w:tcW w:type="dxa" w:w="19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C0000"/>
                <w:sz w:val="20"/>
                <w:szCs w:val="20"/>
              </w:rPr>
              <w:t xml:space="preserve">+0.31%</w:t>
            </w:r>
          </w:p>
        </w:tc>
      </w:tr>
    </w:tbl>
    <w:p>
      <w:r>
        <w:rPr>
          <w:sz w:val="20"/>
          <w:szCs w:val="20"/>
        </w:rPr>
        <w:t xml:space="preserve"/>
      </w:r>
    </w:p>
    <w:p>
      <w:pPr>
        <w:spacing w:after="80" w:before="80"/>
      </w:pPr>
      <w:r>
        <w:rPr>
          <w:rFonts w:ascii="Arial" w:cs="Arial" w:eastAsia="Arial" w:hAnsi="Arial"/>
          <w:b w:val="false"/>
          <w:bCs w:val="false"/>
          <w:color w:val="000000"/>
          <w:sz w:val="22"/>
          <w:szCs w:val="22"/>
        </w:rPr>
        <w:t xml:space="preserve">S&amp;P500이 7,230선을 기록하며 강세를 유지했습니다. 기술주 중심의 나스닥이 +0.89%로 상대적 강세를 보였습니다.</w:t>
      </w:r>
    </w:p>
    <w:p>
      <w:r>
        <w:rPr>
          <w:sz w:val="20"/>
          <w:szCs w:val="20"/>
        </w:rPr>
        <w:t xml:space="preserve"/>
      </w:r>
    </w:p>
    <w:p>
      <w:pPr>
        <w:pStyle w:val="Heading2"/>
        <w:spacing w:after="120" w:before="240"/>
      </w:pPr>
      <w:r>
        <w:rPr>
          <w:rFonts w:ascii="Arial" w:cs="Arial" w:eastAsia="Arial" w:hAnsi="Arial"/>
          <w:b/>
          <w:bCs/>
          <w:color w:val="1A3C6E"/>
          <w:sz w:val="28"/>
          <w:szCs w:val="28"/>
        </w:rPr>
        <w:t xml:space="preserve">3-2. Mag7 시세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4062"/>
        <w:gridCol w:w="1805"/>
        <w:gridCol w:w="1805"/>
      </w:tblGrid>
      <w:tr>
        <w:tc>
          <w:tcPr>
            <w:tcW w:type="dxa" w:w="1354"/>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티커</w:t>
            </w:r>
          </w:p>
        </w:tc>
        <w:tc>
          <w:tcPr>
            <w:tcW w:type="dxa" w:w="4062"/>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종목명</w:t>
            </w:r>
          </w:p>
        </w:tc>
        <w:tc>
          <w:tcPr>
            <w:tcW w:type="dxa" w:w="1805"/>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현재가</w:t>
            </w:r>
          </w:p>
        </w:tc>
        <w:tc>
          <w:tcPr>
            <w:tcW w:type="dxa" w:w="1805"/>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등락률</w:t>
            </w:r>
          </w:p>
        </w:tc>
      </w:tr>
      <w:tr>
        <w:tc>
          <w:tcPr>
            <w:tcW w:type="dxa" w:w="135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AAPL</w:t>
            </w:r>
          </w:p>
        </w:tc>
        <w:tc>
          <w:tcPr>
            <w:tcW w:type="dxa" w:w="406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Apple Inc.</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$271.06</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+0.87%</w:t>
            </w:r>
          </w:p>
        </w:tc>
      </w:tr>
      <w:tr>
        <w:tc>
          <w:tcPr>
            <w:tcW w:type="dxa" w:w="1354"/>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MSFT</w:t>
            </w:r>
          </w:p>
        </w:tc>
        <w:tc>
          <w:tcPr>
            <w:tcW w:type="dxa" w:w="4062"/>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Microsoft Corp.</w:t>
            </w:r>
          </w:p>
        </w:tc>
        <w:tc>
          <w:tcPr>
            <w:tcW w:type="dxa" w:w="1805"/>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$424.60</w:t>
            </w:r>
          </w:p>
        </w:tc>
        <w:tc>
          <w:tcPr>
            <w:tcW w:type="dxa" w:w="1805"/>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+2.13%</w:t>
            </w:r>
          </w:p>
        </w:tc>
      </w:tr>
      <w:tr>
        <w:tc>
          <w:tcPr>
            <w:tcW w:type="dxa" w:w="135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GOOG</w:t>
            </w:r>
          </w:p>
        </w:tc>
        <w:tc>
          <w:tcPr>
            <w:tcW w:type="dxa" w:w="406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Alphabet Inc.</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$342.32</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+1.35%</w:t>
            </w:r>
          </w:p>
        </w:tc>
      </w:tr>
      <w:tr>
        <w:tc>
          <w:tcPr>
            <w:tcW w:type="dxa" w:w="1354"/>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AMZN</w:t>
            </w:r>
          </w:p>
        </w:tc>
        <w:tc>
          <w:tcPr>
            <w:tcW w:type="dxa" w:w="4062"/>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Amazon.com Inc.</w:t>
            </w:r>
          </w:p>
        </w:tc>
        <w:tc>
          <w:tcPr>
            <w:tcW w:type="dxa" w:w="1805"/>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$263.99</w:t>
            </w:r>
          </w:p>
        </w:tc>
        <w:tc>
          <w:tcPr>
            <w:tcW w:type="dxa" w:w="1805"/>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+3.49%</w:t>
            </w:r>
          </w:p>
        </w:tc>
      </w:tr>
      <w:tr>
        <w:tc>
          <w:tcPr>
            <w:tcW w:type="dxa" w:w="135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NVDA</w:t>
            </w:r>
          </w:p>
        </w:tc>
        <w:tc>
          <w:tcPr>
            <w:tcW w:type="dxa" w:w="406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NVIDIA Corp.</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$198.56</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+0.16%</w:t>
            </w:r>
          </w:p>
        </w:tc>
      </w:tr>
      <w:tr>
        <w:tc>
          <w:tcPr>
            <w:tcW w:type="dxa" w:w="1354"/>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META</w:t>
            </w:r>
          </w:p>
        </w:tc>
        <w:tc>
          <w:tcPr>
            <w:tcW w:type="dxa" w:w="4062"/>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Meta Platforms Inc.</w:t>
            </w:r>
          </w:p>
        </w:tc>
        <w:tc>
          <w:tcPr>
            <w:tcW w:type="dxa" w:w="1805"/>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20"/>
                <w:szCs w:val="20"/>
              </w:rPr>
              <w:t xml:space="preserve">확보 실패</w:t>
            </w:r>
          </w:p>
        </w:tc>
        <w:tc>
          <w:tcPr>
            <w:tcW w:type="dxa" w:w="1805"/>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888888"/>
                <w:sz w:val="20"/>
                <w:szCs w:val="20"/>
              </w:rPr>
              <w:t xml:space="preserve">-</w:t>
            </w:r>
          </w:p>
        </w:tc>
      </w:tr>
      <w:tr>
        <w:tc>
          <w:tcPr>
            <w:tcW w:type="dxa" w:w="135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TSLA</w:t>
            </w:r>
          </w:p>
        </w:tc>
        <w:tc>
          <w:tcPr>
            <w:tcW w:type="dxa" w:w="406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Tesla Inc.</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$376.30</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+0.69%</w:t>
            </w:r>
          </w:p>
        </w:tc>
      </w:tr>
    </w:tbl>
    <w:p>
      <w:r>
        <w:rPr>
          <w:sz w:val="20"/>
          <w:szCs w:val="20"/>
        </w:rPr>
        <w:t xml:space="preserve"/>
      </w:r>
    </w:p>
    <w:p>
      <w:pPr>
        <w:spacing w:after="80" w:before="80"/>
      </w:pPr>
      <w:r>
        <w:rPr>
          <w:rFonts w:ascii="Arial" w:cs="Arial" w:eastAsia="Arial" w:hAnsi="Arial"/>
          <w:b w:val="false"/>
          <w:bCs w:val="false"/>
          <w:color w:val="000000"/>
          <w:sz w:val="22"/>
          <w:szCs w:val="22"/>
        </w:rPr>
        <w:t xml:space="preserve">Amazon(+3.49%)과 Microsoft(+2.13%)가 특히 강세를 보였습니다. META 시세는 데이터 확보에 실패했습니다.</w:t>
      </w:r>
    </w:p>
    <w:p>
      <w:r>
        <w:br w:type="page"/>
      </w:r>
    </w:p>
    <w:p>
      <w:pPr>
        <w:pStyle w:val="Heading1"/>
        <w:pBdr>
          <w:bottom w:val="single" w:color="2E5596" w:sz="6" w:space="1"/>
        </w:pBdr>
        <w:spacing w:after="160" w:before="320"/>
      </w:pPr>
      <w:r>
        <w:rPr>
          <w:rFonts w:ascii="Arial" w:cs="Arial" w:eastAsia="Arial" w:hAnsi="Arial"/>
          <w:b/>
          <w:bCs/>
          <w:color w:val="2E5596"/>
          <w:sz w:val="36"/>
          <w:szCs w:val="36"/>
        </w:rPr>
        <w:t xml:space="preserve">4. 🌍 거시경제 &amp; 지정학 리스크</w:t>
      </w:r>
    </w:p>
    <w:p>
      <w:pPr>
        <w:pStyle w:val="Heading2"/>
        <w:spacing w:after="120" w:before="240"/>
      </w:pPr>
      <w:r>
        <w:rPr>
          <w:rFonts w:ascii="Arial" w:cs="Arial" w:eastAsia="Arial" w:hAnsi="Arial"/>
          <w:b/>
          <w:bCs/>
          <w:color w:val="1A3C6E"/>
          <w:sz w:val="28"/>
          <w:szCs w:val="28"/>
        </w:rPr>
        <w:t xml:space="preserve">4-1. 환율 · 원자재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2979"/>
        <w:gridCol w:w="2979"/>
      </w:tblGrid>
      <w:tr>
        <w:tc>
          <w:tcPr>
            <w:tcW w:type="dxa" w:w="3069"/>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항목</w:t>
            </w:r>
          </w:p>
        </w:tc>
        <w:tc>
          <w:tcPr>
            <w:tcW w:type="dxa" w:w="2979"/>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현재가</w:t>
            </w:r>
          </w:p>
        </w:tc>
        <w:tc>
          <w:tcPr>
            <w:tcW w:type="dxa" w:w="2979"/>
            <w:tcBorders>
              <w:top w:val="single" w:color="CCCCCC" w:sz="1"/>
              <w:left w:val="single" w:color="CCCCCC" w:sz="1"/>
              <w:bottom w:val="single" w:color="CCCCCC" w:sz="1"/>
              <w:right w:val="single" w:color="CCCCCC" w:sz="1"/>
            </w:tcBorders>
            <w:shd w:fill="2E55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등락률</w:t>
            </w:r>
          </w:p>
        </w:tc>
      </w:tr>
      <w:tr>
        <w:tc>
          <w:tcPr>
            <w:tcW w:type="dxa" w:w="306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USD/KRW</w:t>
            </w:r>
          </w:p>
        </w:tc>
        <w:tc>
          <w:tcPr>
            <w:tcW w:type="dxa" w:w="297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1,471.02원</w:t>
            </w:r>
          </w:p>
        </w:tc>
        <w:tc>
          <w:tcPr>
            <w:tcW w:type="dxa" w:w="297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CC"/>
                <w:sz w:val="20"/>
                <w:szCs w:val="20"/>
              </w:rPr>
              <w:t xml:space="preserve">-0.21%</w:t>
            </w:r>
          </w:p>
        </w:tc>
      </w:tr>
      <w:tr>
        <w:tc>
          <w:tcPr>
            <w:tcW w:type="dxa" w:w="3069"/>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WTI 원유</w:t>
            </w:r>
          </w:p>
        </w:tc>
        <w:tc>
          <w:tcPr>
            <w:tcW w:type="dxa" w:w="2979"/>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$102.50/배럴</w:t>
            </w:r>
          </w:p>
        </w:tc>
        <w:tc>
          <w:tcPr>
            <w:tcW w:type="dxa" w:w="2979"/>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0000CC"/>
                <w:sz w:val="20"/>
                <w:szCs w:val="20"/>
              </w:rPr>
              <w:t xml:space="preserve">-2.45%</w:t>
            </w:r>
          </w:p>
        </w:tc>
      </w:tr>
      <w:tr>
        <w:tc>
          <w:tcPr>
            <w:tcW w:type="dxa" w:w="306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브렌트유</w:t>
            </w:r>
          </w:p>
        </w:tc>
        <w:tc>
          <w:tcPr>
            <w:tcW w:type="dxa" w:w="297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$111.72/배럴</w:t>
            </w:r>
          </w:p>
        </w:tc>
        <w:tc>
          <w:tcPr>
            <w:tcW w:type="dxa" w:w="297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+1.15%</w:t>
            </w:r>
          </w:p>
        </w:tc>
      </w:tr>
      <w:tr>
        <w:tc>
          <w:tcPr>
            <w:tcW w:type="dxa" w:w="3069"/>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금 선물</w:t>
            </w:r>
          </w:p>
        </w:tc>
        <w:tc>
          <w:tcPr>
            <w:tcW w:type="dxa" w:w="2979"/>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$4,571.71</w:t>
            </w:r>
          </w:p>
        </w:tc>
        <w:tc>
          <w:tcPr>
            <w:tcW w:type="dxa" w:w="2979"/>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+0.22%</w:t>
            </w:r>
          </w:p>
        </w:tc>
      </w:tr>
      <w:tr>
        <w:tc>
          <w:tcPr>
            <w:tcW w:type="dxa" w:w="306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비트코인</w:t>
            </w:r>
          </w:p>
        </w:tc>
        <w:tc>
          <w:tcPr>
            <w:tcW w:type="dxa" w:w="297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$80,323.50</w:t>
            </w:r>
          </w:p>
        </w:tc>
        <w:tc>
          <w:tcPr>
            <w:tcW w:type="dxa" w:w="297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CC0000"/>
                <w:sz w:val="20"/>
                <w:szCs w:val="20"/>
              </w:rPr>
              <w:t xml:space="preserve">+2.76%</w:t>
            </w:r>
          </w:p>
        </w:tc>
      </w:tr>
    </w:tbl>
    <w:p>
      <w:r>
        <w:rPr>
          <w:sz w:val="20"/>
          <w:szCs w:val="20"/>
        </w:rPr>
        <w:t xml:space="preserve"/>
      </w:r>
    </w:p>
    <w:p>
      <w:pPr>
        <w:pStyle w:val="Heading2"/>
        <w:spacing w:after="120" w:before="240"/>
      </w:pPr>
      <w:r>
        <w:rPr>
          <w:rFonts w:ascii="Arial" w:cs="Arial" w:eastAsia="Arial" w:hAnsi="Arial"/>
          <w:b/>
          <w:bCs/>
          <w:color w:val="1A3C6E"/>
          <w:sz w:val="28"/>
          <w:szCs w:val="28"/>
        </w:rPr>
        <w:t xml:space="preserve">4-2. 지정학 &amp; 정책 이벤트</w:t>
      </w:r>
    </w:p>
    <w:p>
      <w:pPr>
        <w:pStyle w:val="ListParagraph"/>
        <w:numPr>
          <w:ilvl w:val="0"/>
          <w:numId w:val="2"/>
        </w:numPr>
        <w:spacing w:after="60" w:before="60"/>
      </w:pPr>
      <w:r>
        <w:rPr>
          <w:rFonts w:ascii="Arial" w:cs="Arial" w:eastAsia="Arial" w:hAnsi="Arial"/>
          <w:sz w:val="22"/>
          <w:szCs w:val="22"/>
        </w:rPr>
        <w:t xml:space="preserve">트럼프 행정부: 호르무즈 해협 선박 안전 이동 지원 작전 5월 4일부터 개시. WTI 유가 사흘 연속 하락 중</w:t>
      </w:r>
    </w:p>
    <w:p>
      <w:pPr>
        <w:pStyle w:val="ListParagraph"/>
        <w:numPr>
          <w:ilvl w:val="0"/>
          <w:numId w:val="2"/>
        </w:numPr>
        <w:spacing w:after="60" w:before="60"/>
      </w:pPr>
      <w:r>
        <w:rPr>
          <w:rFonts w:ascii="Arial" w:cs="Arial" w:eastAsia="Arial" w:hAnsi="Arial"/>
          <w:sz w:val="22"/>
          <w:szCs w:val="22"/>
        </w:rPr>
        <w:t xml:space="preserve">이란: "휴전 위반 간주" 경고 발표, 중동 긴장 완화와 갈등 혼재</w:t>
      </w:r>
    </w:p>
    <w:p>
      <w:pPr>
        <w:pStyle w:val="ListParagraph"/>
        <w:numPr>
          <w:ilvl w:val="0"/>
          <w:numId w:val="2"/>
        </w:numPr>
        <w:spacing w:after="60" w:before="60"/>
      </w:pPr>
      <w:r>
        <w:rPr>
          <w:rFonts w:ascii="Arial" w:cs="Arial" w:eastAsia="Arial" w:hAnsi="Arial"/>
          <w:sz w:val="22"/>
          <w:szCs w:val="22"/>
        </w:rPr>
        <w:t xml:space="preserve">중국 전기차: 한국 시장 강력 진출, 일부 한국 기술 수준 추월 평가</w:t>
      </w:r>
    </w:p>
    <w:p>
      <w:r>
        <w:rPr>
          <w:sz w:val="20"/>
          <w:szCs w:val="20"/>
        </w:rPr>
        <w:t xml:space="preserve"/>
      </w:r>
    </w:p>
    <w:p>
      <w:pPr>
        <w:pStyle w:val="Heading2"/>
        <w:spacing w:after="120" w:before="240"/>
      </w:pPr>
      <w:r>
        <w:rPr>
          <w:rFonts w:ascii="Arial" w:cs="Arial" w:eastAsia="Arial" w:hAnsi="Arial"/>
          <w:b/>
          <w:bCs/>
          <w:color w:val="1A3C6E"/>
          <w:sz w:val="28"/>
          <w:szCs w:val="28"/>
        </w:rPr>
        <w:t xml:space="preserve">4-3. 한국은행 &amp; Fed 동향</w:t>
      </w:r>
    </w:p>
    <w:p>
      <w:pPr>
        <w:pStyle w:val="ListParagraph"/>
        <w:numPr>
          <w:ilvl w:val="0"/>
          <w:numId w:val="2"/>
        </w:numPr>
        <w:spacing w:after="60" w:before="60"/>
      </w:pPr>
      <w:r>
        <w:rPr>
          <w:rFonts w:ascii="Arial" w:cs="Arial" w:eastAsia="Arial" w:hAnsi="Arial"/>
          <w:sz w:val="22"/>
          <w:szCs w:val="22"/>
        </w:rPr>
        <w:t xml:space="preserve">한국은행 부총재: "금리 인하 사이클 사실상 종료, 인상 고민할 때" — 연내 금리인상 가능성 첫 신호</w:t>
      </w:r>
    </w:p>
    <w:p>
      <w:pPr>
        <w:pStyle w:val="ListParagraph"/>
        <w:numPr>
          <w:ilvl w:val="0"/>
          <w:numId w:val="2"/>
        </w:numPr>
        <w:spacing w:after="60" w:before="60"/>
      </w:pPr>
      <w:r>
        <w:rPr>
          <w:rFonts w:ascii="Arial" w:cs="Arial" w:eastAsia="Arial" w:hAnsi="Arial"/>
          <w:sz w:val="22"/>
          <w:szCs w:val="22"/>
        </w:rPr>
        <w:t xml:space="preserve">반도체 수출 호조와 물가상승 압력 병존으로 통화정책 방향 전환 논의 본격화</w:t>
      </w:r>
    </w:p>
    <w:p>
      <w:pPr>
        <w:pStyle w:val="ListParagraph"/>
        <w:numPr>
          <w:ilvl w:val="0"/>
          <w:numId w:val="2"/>
        </w:numPr>
        <w:spacing w:after="60" w:before="60"/>
      </w:pPr>
      <w:r>
        <w:rPr>
          <w:rFonts w:ascii="Arial" w:cs="Arial" w:eastAsia="Arial" w:hAnsi="Arial"/>
          <w:sz w:val="22"/>
          <w:szCs w:val="22"/>
        </w:rPr>
        <w:t xml:space="preserve">다주택자 양도세 중과 시행 D-6 (5월 10일 예정)</w:t>
      </w:r>
    </w:p>
    <w:p>
      <w:pPr>
        <w:pStyle w:val="ListParagraph"/>
        <w:numPr>
          <w:ilvl w:val="0"/>
          <w:numId w:val="2"/>
        </w:numPr>
        <w:spacing w:after="60" w:before="60"/>
      </w:pPr>
      <w:r>
        <w:rPr>
          <w:rFonts w:ascii="Arial" w:cs="Arial" w:eastAsia="Arial" w:hAnsi="Arial"/>
          <w:sz w:val="22"/>
          <w:szCs w:val="22"/>
        </w:rPr>
        <w:t xml:space="preserve">비트코인: $80,323.50 (+2.76%), 4월 수익률 1년래 최고치 기록</w:t>
      </w:r>
    </w:p>
    <w:p>
      <w:r>
        <w:br w:type="page"/>
      </w:r>
    </w:p>
    <w:p>
      <w:pPr>
        <w:pStyle w:val="Heading1"/>
        <w:pBdr>
          <w:bottom w:val="single" w:color="2E5596" w:sz="6" w:space="1"/>
        </w:pBdr>
        <w:spacing w:after="160" w:before="320"/>
      </w:pPr>
      <w:r>
        <w:rPr>
          <w:rFonts w:ascii="Arial" w:cs="Arial" w:eastAsia="Arial" w:hAnsi="Arial"/>
          <w:b/>
          <w:bCs/>
          <w:color w:val="2E5596"/>
          <w:sz w:val="36"/>
          <w:szCs w:val="36"/>
        </w:rPr>
        <w:t xml:space="preserve">5. 💡 루나 교수님 사업 포트폴리오 시사점</w:t>
      </w:r>
    </w:p>
    <w:p>
      <w:pPr>
        <w:pStyle w:val="Heading2"/>
        <w:spacing w:after="120" w:before="240"/>
      </w:pPr>
      <w:r>
        <w:rPr>
          <w:rFonts w:ascii="Arial" w:cs="Arial" w:eastAsia="Arial" w:hAnsi="Arial"/>
          <w:b/>
          <w:bCs/>
          <w:color w:val="1A3C6E"/>
          <w:sz w:val="28"/>
          <w:szCs w:val="28"/>
        </w:rPr>
        <w:t xml:space="preserve">📱 실용음악 입시 앱 개발</w:t>
      </w:r>
    </w:p>
    <w:p>
      <w:pPr>
        <w:spacing w:after="80" w:before="80"/>
      </w:pPr>
      <w:r>
        <w:rPr>
          <w:rFonts w:ascii="Arial" w:cs="Arial" w:eastAsia="Arial" w:hAnsi="Arial"/>
          <w:b w:val="false"/>
          <w:bCs w:val="false"/>
          <w:color w:val="000000"/>
          <w:sz w:val="22"/>
          <w:szCs w:val="22"/>
        </w:rPr>
        <w:t xml:space="preserve">반도체 슈퍼 사이클이 본격화되면서 AI 인프라 비용(클라우드 서버, GPU 운영비)은 중장기적으로 안정화될 가능성이 높습니다. NVIDIA 주가(+0.16%)가 상대적으로 안정세를 보이고 SK하이닉스 신고가 경신은 HBM 공급 확대를 의미하므로, AI 기반 입시 음악 분석·피드백 기능 개발 비용이 향후 낮아질 수 있습니다. 지금이 AI 앱 기능 고도화 투자를 검토할 적기입니다.</w:t>
      </w:r>
    </w:p>
    <w:p>
      <w:r>
        <w:rPr>
          <w:sz w:val="20"/>
          <w:szCs w:val="20"/>
        </w:rPr>
        <w:t xml:space="preserve"/>
      </w:r>
    </w:p>
    <w:p>
      <w:pPr>
        <w:spacing w:after="80" w:before="80"/>
      </w:pPr>
      <w:r>
        <w:rPr>
          <w:rFonts w:ascii="Arial" w:cs="Arial" w:eastAsia="Arial" w:hAnsi="Arial"/>
          <w:b w:val="false"/>
          <w:bCs w:val="false"/>
          <w:color w:val="000000"/>
          <w:sz w:val="22"/>
          <w:szCs w:val="22"/>
        </w:rPr>
        <w:t xml:space="preserve">원화 강세(USD/KRW 하락)로 해외 클라우드 서비스(AWS, GCP 등) 이용 비용이 소폭 감소하는 효과도 있습니다.</w:t>
      </w:r>
    </w:p>
    <w:p>
      <w:r>
        <w:rPr>
          <w:sz w:val="20"/>
          <w:szCs w:val="20"/>
        </w:rPr>
        <w:t xml:space="preserve"/>
      </w:r>
    </w:p>
    <w:p>
      <w:pPr>
        <w:pStyle w:val="Heading2"/>
        <w:spacing w:after="120" w:before="240"/>
      </w:pPr>
      <w:r>
        <w:rPr>
          <w:rFonts w:ascii="Arial" w:cs="Arial" w:eastAsia="Arial" w:hAnsi="Arial"/>
          <w:b/>
          <w:bCs/>
          <w:color w:val="1A3C6E"/>
          <w:sz w:val="28"/>
          <w:szCs w:val="28"/>
        </w:rPr>
        <w:t xml:space="preserve">☕ 커피스미스 프랜차이즈</w:t>
      </w:r>
    </w:p>
    <w:p>
      <w:pPr>
        <w:spacing w:after="80" w:before="80"/>
      </w:pPr>
      <w:r>
        <w:rPr>
          <w:rFonts w:ascii="Arial" w:cs="Arial" w:eastAsia="Arial" w:hAnsi="Arial"/>
          <w:b w:val="false"/>
          <w:bCs w:val="false"/>
          <w:color w:val="000000"/>
          <w:sz w:val="22"/>
          <w:szCs w:val="22"/>
        </w:rPr>
        <w:t xml:space="preserve">WTI가 $102.50(-2.45%)로 사흘 연속 하락 중이며, 트럼프의 호르무즈 안전 작전이 진행되면 단기 유가 하락 압력이 지속될 수 있습니다. 이는 커피 원두 및 물류 운반 원가에 간접 긍정 효과를 줍니다.</w:t>
      </w:r>
    </w:p>
    <w:p>
      <w:r>
        <w:rPr>
          <w:sz w:val="20"/>
          <w:szCs w:val="20"/>
        </w:rPr>
        <w:t xml:space="preserve"/>
      </w:r>
    </w:p>
    <w:p>
      <w:pPr>
        <w:spacing w:after="80" w:before="80"/>
      </w:pPr>
      <w:r>
        <w:rPr>
          <w:rFonts w:ascii="Arial" w:cs="Arial" w:eastAsia="Arial" w:hAnsi="Arial"/>
          <w:b w:val="false"/>
          <w:bCs w:val="false"/>
          <w:color w:val="000000"/>
          <w:sz w:val="22"/>
          <w:szCs w:val="22"/>
        </w:rPr>
        <w:t xml:space="preserve">반면 원/달러 환율이 1,471원으로 원화 강세 추세이나, 이는 수입 원두 원가 측면에서는 유리하게 작용합니다. 다만 한국은행의 금리인상 시그널이 현실화되면 소비 심리 위축과 카페 방문객 감소 가능성에 대비한 메뉴 가격 정책을 미리 검토하는 것이 좋습니다.</w:t>
      </w:r>
    </w:p>
    <w:p>
      <w:r>
        <w:rPr>
          <w:sz w:val="20"/>
          <w:szCs w:val="20"/>
        </w:rPr>
        <w:t xml:space="preserve"/>
      </w:r>
    </w:p>
    <w:p>
      <w:pPr>
        <w:pStyle w:val="Heading2"/>
        <w:spacing w:after="120" w:before="240"/>
      </w:pPr>
      <w:r>
        <w:rPr>
          <w:rFonts w:ascii="Arial" w:cs="Arial" w:eastAsia="Arial" w:hAnsi="Arial"/>
          <w:b/>
          <w:bCs/>
          <w:color w:val="1A3C6E"/>
          <w:sz w:val="28"/>
          <w:szCs w:val="28"/>
        </w:rPr>
        <w:t xml:space="preserve">🎵 실용음악·댄스 학원</w:t>
      </w:r>
    </w:p>
    <w:p>
      <w:pPr>
        <w:spacing w:after="80" w:before="80"/>
      </w:pPr>
      <w:r>
        <w:rPr>
          <w:rFonts w:ascii="Arial" w:cs="Arial" w:eastAsia="Arial" w:hAnsi="Arial"/>
          <w:b w:val="false"/>
          <w:bCs w:val="false"/>
          <w:color w:val="000000"/>
          <w:sz w:val="22"/>
          <w:szCs w:val="22"/>
        </w:rPr>
        <w:t xml:space="preserve">코스피 급등(+4.62%)으로 자산 시장 활성화 → 가계 여유 자금 증가 → 사교육·문화 소비 지출 확대 가능성이 있습니다. 증시 강세 장세에서 학원 수강 문의가 증가하는 경향이 있으므로, 현재 마케팅 강화 타이밍으로 적합합니다.</w:t>
      </w:r>
    </w:p>
    <w:p>
      <w:r>
        <w:rPr>
          <w:sz w:val="20"/>
          <w:szCs w:val="20"/>
        </w:rPr>
        <w:t xml:space="preserve"/>
      </w:r>
    </w:p>
    <w:p>
      <w:pPr>
        <w:spacing w:after="80" w:before="80"/>
      </w:pPr>
      <w:r>
        <w:rPr>
          <w:rFonts w:ascii="Arial" w:cs="Arial" w:eastAsia="Arial" w:hAnsi="Arial"/>
          <w:b w:val="false"/>
          <w:bCs w:val="false"/>
          <w:color w:val="000000"/>
          <w:sz w:val="22"/>
          <w:szCs w:val="22"/>
        </w:rPr>
        <w:t xml:space="preserve">단, 한국은행의 금리인상 시사 발언은 향후 6~12개월 내 가계 이자 부담 증가로 이어질 수 있어, 수강료 할인 패키지나 장기 수강 혜택을 선제적으로 구성해두는 전략이 도움이 될 것입니다.</w:t>
      </w:r>
    </w:p>
    <w:p>
      <w:r>
        <w:rPr>
          <w:sz w:val="20"/>
          <w:szCs w:val="20"/>
        </w:rPr>
        <w:t xml:space="preserve"/>
      </w:r>
    </w:p>
    <w:p>
      <w:pPr>
        <w:pBdr>
          <w:left w:val="single" w:color="2E5596" w:sz="12" w:space="1"/>
        </w:pBdr>
        <w:shd w:fill="EEF4FF" w:val="clear"/>
        <w:spacing w:after="120" w:before="240"/>
      </w:pPr>
      <w:r>
        <w:rPr>
          <w:rFonts w:ascii="Arial" w:cs="Arial" w:eastAsia="Arial" w:hAnsi="Arial"/>
          <w:b/>
          <w:bCs/>
          <w:color w:val="1A3C6E"/>
          <w:sz w:val="22"/>
          <w:szCs w:val="22"/>
        </w:rPr>
        <w:t xml:space="preserve">📌 핵심 요약: 오늘 한국 증시는 반도체 슈퍼 사이클 가동으로 코스피 6,900선을 돌파하는 강세장을 연출했습니다. 외국인의 대규모 순매수(코스피 +2.38조원)는 한국 시장에 대한 글로벌 자금의 신뢰를 보여줍니다. 루나 교수님의 세 사업 모두 현 거시환경에서 각각 AI 인프라 비용 하락, 유가 원가 안정, 소비 심리 개선이라는 긍정적 단기 모멘텀을 갖추고 있습니다.</w:t>
      </w:r>
    </w:p>
    <w:p>
      <w:r>
        <w:br w:type="page"/>
      </w:r>
    </w:p>
    <w:p>
      <w:pPr>
        <w:pStyle w:val="Heading1"/>
        <w:pBdr>
          <w:bottom w:val="single" w:color="2E5596" w:sz="6" w:space="1"/>
        </w:pBdr>
        <w:spacing w:after="160" w:before="320"/>
      </w:pPr>
      <w:r>
        <w:rPr>
          <w:rFonts w:ascii="Arial" w:cs="Arial" w:eastAsia="Arial" w:hAnsi="Arial"/>
          <w:b/>
          <w:bCs/>
          <w:color w:val="2E5596"/>
          <w:sz w:val="36"/>
          <w:szCs w:val="36"/>
        </w:rPr>
        <w:t xml:space="preserve">6. 📋 데이터 출처</w:t>
      </w:r>
    </w:p>
    <w:p>
      <w:pPr>
        <w:pStyle w:val="ListParagraph"/>
        <w:numPr>
          <w:ilvl w:val="0"/>
          <w:numId w:val="2"/>
        </w:numPr>
        <w:spacing w:after="60" w:before="60"/>
      </w:pPr>
      <w:r>
        <w:rPr>
          <w:rFonts w:ascii="Arial" w:cs="Arial" w:eastAsia="Arial" w:hAnsi="Arial"/>
          <w:sz w:val="22"/>
          <w:szCs w:val="22"/>
        </w:rPr>
        <w:t xml:space="preserve">매일경제 (https://www.mk.co.kr/) — 반도체·증권 시황</w:t>
      </w:r>
    </w:p>
    <w:p>
      <w:pPr>
        <w:pStyle w:val="ListParagraph"/>
        <w:numPr>
          <w:ilvl w:val="0"/>
          <w:numId w:val="2"/>
        </w:numPr>
        <w:spacing w:after="60" w:before="60"/>
      </w:pPr>
      <w:r>
        <w:rPr>
          <w:rFonts w:ascii="Arial" w:cs="Arial" w:eastAsia="Arial" w:hAnsi="Arial"/>
          <w:sz w:val="22"/>
          <w:szCs w:val="22"/>
        </w:rPr>
        <w:t xml:space="preserve">이데일리 (https://www.edaily.co.kr/) — 코스피 돌파 기사·거시 분석</w:t>
      </w:r>
    </w:p>
    <w:p>
      <w:pPr>
        <w:pStyle w:val="ListParagraph"/>
        <w:numPr>
          <w:ilvl w:val="0"/>
          <w:numId w:val="2"/>
        </w:numPr>
        <w:spacing w:after="60" w:before="60"/>
      </w:pPr>
      <w:r>
        <w:rPr>
          <w:rFonts w:ascii="Arial" w:cs="Arial" w:eastAsia="Arial" w:hAnsi="Arial"/>
          <w:sz w:val="22"/>
          <w:szCs w:val="22"/>
        </w:rPr>
        <w:t xml:space="preserve">머니투데이 (https://news.mt.co.kr/) — SK하이닉스 신고가·기업 뉴스</w:t>
      </w:r>
    </w:p>
    <w:p>
      <w:pPr>
        <w:pStyle w:val="ListParagraph"/>
        <w:numPr>
          <w:ilvl w:val="0"/>
          <w:numId w:val="2"/>
        </w:numPr>
        <w:spacing w:after="60" w:before="60"/>
      </w:pPr>
      <w:r>
        <w:rPr>
          <w:rFonts w:ascii="Arial" w:cs="Arial" w:eastAsia="Arial" w:hAnsi="Arial"/>
          <w:sz w:val="22"/>
          <w:szCs w:val="22"/>
        </w:rPr>
        <w:t xml:space="preserve">다음 금융 (https://finance.daum.net/domestic) — 지수·매매동향·업종·종목</w:t>
      </w:r>
    </w:p>
    <w:p>
      <w:pPr>
        <w:pStyle w:val="ListParagraph"/>
        <w:numPr>
          <w:ilvl w:val="0"/>
          <w:numId w:val="2"/>
        </w:numPr>
        <w:spacing w:after="60" w:before="60"/>
      </w:pPr>
      <w:r>
        <w:rPr>
          <w:rFonts w:ascii="Arial" w:cs="Arial" w:eastAsia="Arial" w:hAnsi="Arial"/>
          <w:sz w:val="22"/>
          <w:szCs w:val="22"/>
        </w:rPr>
        <w:t xml:space="preserve">Yahoo Finance (https://finance.yahoo.com/) — 미국 지수·Mag7 시세</w:t>
      </w:r>
    </w:p>
    <w:p>
      <w:pPr>
        <w:pStyle w:val="ListParagraph"/>
        <w:numPr>
          <w:ilvl w:val="0"/>
          <w:numId w:val="2"/>
        </w:numPr>
        <w:spacing w:after="60" w:before="60"/>
      </w:pPr>
      <w:r>
        <w:rPr>
          <w:rFonts w:ascii="Arial" w:cs="Arial" w:eastAsia="Arial" w:hAnsi="Arial"/>
          <w:sz w:val="22"/>
          <w:szCs w:val="22"/>
        </w:rPr>
        <w:t xml:space="preserve">Trading Economics (https://ko.tradingeconomics.com/) — 환율·원자재</w:t>
      </w:r>
    </w:p>
    <w:p>
      <w:pPr>
        <w:pStyle w:val="ListParagraph"/>
        <w:numPr>
          <w:ilvl w:val="0"/>
          <w:numId w:val="2"/>
        </w:numPr>
        <w:spacing w:after="60" w:before="60"/>
      </w:pPr>
      <w:r>
        <w:rPr>
          <w:rFonts w:ascii="Arial" w:cs="Arial" w:eastAsia="Arial" w:hAnsi="Arial"/>
          <w:sz w:val="22"/>
          <w:szCs w:val="22"/>
        </w:rPr>
        <w:t xml:space="preserve">Investing.com (https://kr.investing.com/) — 글로벌 금융 데이터</w:t>
      </w:r>
    </w:p>
    <w:p>
      <w:pPr>
        <w:pStyle w:val="ListParagraph"/>
        <w:numPr>
          <w:ilvl w:val="0"/>
          <w:numId w:val="2"/>
        </w:numPr>
        <w:spacing w:after="60" w:before="60"/>
      </w:pPr>
      <w:r>
        <w:rPr>
          <w:rFonts w:ascii="Arial" w:cs="Arial" w:eastAsia="Arial" w:hAnsi="Arial"/>
          <w:sz w:val="22"/>
          <w:szCs w:val="22"/>
        </w:rPr>
        <w:t xml:space="preserve">연합뉴스 경제 (https://www.yna.co.kr/economy) — 국내 정책 뉴스</w:t>
      </w:r>
    </w:p>
    <w:p>
      <w:r>
        <w:rPr>
          <w:sz w:val="20"/>
          <w:szCs w:val="20"/>
        </w:rPr>
        <w:t xml:space="preserve"/>
      </w:r>
    </w:p>
    <w:p>
      <w:r>
        <w:rPr>
          <w:sz w:val="20"/>
          <w:szCs w:val="20"/>
        </w:rPr>
        <w:t xml:space="preserve"/>
      </w:r>
    </w:p>
    <w:p>
      <w:pPr>
        <w:spacing w:after="80" w:before="80"/>
      </w:pPr>
      <w:r>
        <w:rPr>
          <w:rFonts w:ascii="Arial" w:cs="Arial" w:eastAsia="Arial" w:hAnsi="Arial"/>
          <w:b w:val="false"/>
          <w:bCs w:val="false"/>
          <w:color w:val="888888"/>
          <w:sz w:val="22"/>
          <w:szCs w:val="22"/>
        </w:rPr>
        <w:t xml:space="preserve">※ 본 보고서는 투자 권유가 아닌 정보 제공 목적입니다. 투자 결정은 반드시 본인의 판단과 책임 하에 이루어져야 합니다.</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본 보고서는 투자 권유가 아닌 정보 제공 목적입니다.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6" w:sz="6" w:space="1"/>
      </w:pBdr>
    </w:pPr>
    <w:r>
      <w:rPr>
        <w:rFonts w:ascii="Arial" w:cs="Arial" w:eastAsia="Arial" w:hAnsi="Arial"/>
        <w:b/>
        <w:bCs/>
        <w:color w:val="2E5596"/>
        <w:sz w:val="20"/>
        <w:szCs w:val="20"/>
      </w:rPr>
      <w:t xml:space="preserve">한국·미국 증시 종합 리서치 보고서  |  2026년 5월 4일 (월)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59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3C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2026-05-04T04:07:30.297Z</dcterms:created>
  <dcterms:modified xsi:type="dcterms:W3CDTF">2026-05-04T04:07:30.297Z</dcterms:modified>
</cp:coreProperties>
</file>

<file path=docProps/custom.xml><?xml version="1.0" encoding="utf-8"?>
<Properties xmlns="http://schemas.openxmlformats.org/officeDocument/2006/custom-properties" xmlns:vt="http://schemas.openxmlformats.org/officeDocument/2006/docPropsVTypes"/>
</file>