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2E5596"/>
          <w:sz w:val="52"/>
          <w:szCs w:val="52"/>
        </w:rPr>
        <w:t xml:space="preserve">한국·미국 증시 종합 리서치 보고서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2026년 5월 6일 기준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출처: 한국경제 · 매일경제 · 다음금융 · Yahoo Finance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1. 한국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1-1. 주요 지수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2026년 5월 6일 오전 10시 기준, 코스피는 전일 대비 +5.44% 급등하며 7,314포인트를 기록했습니다. 매수 사이드카까지 발동된 폭발적 상승이었으며, 특히 반도체 섹터가 강세를 주도했습니다.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rPr>
          <w:tblHeader w:val="false"/>
        </w:trP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7,314.37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+5.44% ▲</w:t>
            </w:r>
          </w:p>
        </w:tc>
      </w:tr>
      <w:tr>
        <w:trPr>
          <w:tblHeader w:val="false"/>
        </w:trP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1,205.51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-0.68% ▼</w:t>
            </w:r>
          </w:p>
        </w:tc>
      </w:tr>
      <w:tr>
        <w:trPr>
          <w:tblHeader w:val="false"/>
        </w:trP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1,118.63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+6.57% ▲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1-2. 투자자별 매매동향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투자자</w:t>
            </w:r>
          </w:p>
        </w:tc>
        <w:tc>
          <w:tcPr>
            <w:tcW w:type="dxa" w:w="225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코스피(억원)</w:t>
            </w:r>
          </w:p>
        </w:tc>
        <w:tc>
          <w:tcPr>
            <w:tcW w:type="dxa" w:w="225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코스닥(억원)</w:t>
            </w:r>
          </w:p>
        </w:tc>
        <w:tc>
          <w:tcPr>
            <w:tcW w:type="dxa" w:w="225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외국인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+11,662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강력 매수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-4,857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순매도</w:t>
            </w:r>
          </w:p>
        </w:tc>
      </w:tr>
      <w:tr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+4,941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순매수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1-3. 업종별 등락률 (상승 상위)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반도체·비금속: +10.18% — AI 인프라 수요 직접 수혜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복합기업: +9.64%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중공업: +7.86%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생명보험: +7.23%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전기·전비: +6.74%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1-4. 코스닥 상승률 상위 종목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25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25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4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SKC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파워인앤씨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4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가온전자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+20.28%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파워넥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+29.97%</w:t>
            </w:r>
          </w:p>
        </w:tc>
      </w:tr>
      <w:tr>
        <w:tc>
          <w:tcPr>
            <w:tcW w:type="dxa" w:w="4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한울엔제주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+29.95%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1-5. 주도주 및 애널리스트 코멘트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삼성전자: 259,750원 (+11.72%) — 25만원 터치·신고가 경신. AI 반도체 수요 견인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SK하이닉스: 1,586,000원 (+9.61%) — 역사적 신고가, 160만원 돌파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외국인 순매수 11,662억원으로 랠리 주도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[애널리스트 코멘트]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블랙록 수전 챈 아태 총괄: "한국 증시 상승은 AI 기술이 이끄는 구조적 변화의 시작, MSCI 내 한국 비중 2~3% 확대 예상"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한국투자증권 백두산 연구원: 삼성증권 목표가 13.5만→15.5만원 상향 (외국인 수수료 수익 확대)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키움증권 허혜민 연구원: 삼성바이오로직스 파업 영향 매출 손실 1,500억원 추정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2. 주요 기업 실적 &amp; 뉴스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반도체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삼성전자: 1분기 실적 서프라이즈, 메모리 사이클 장기화 전망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SK하이닉스: 역사적 신고가 경신. HBM 수요 지속 확대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AMD: 1Q EPS $1.37 (예상 $1.28 상회), 매출 $102.5억 (예상 $98.9억 상회), 데이터센터 매출 +57% 폭증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인텔: 애플·마이크론과 칩 생산 협력 검토 뉴스에 +12.92% 급등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마이크론: +11.06%, 시총 7,000억 달러 돌파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바이오·기타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삼성바이오로직스: 파업으로 2분기 매출 추가 손실 우려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쿠팡: 1분기 영업손실 3,500억원 (4년3개월 만 최대 적자)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3. 미국 증시 개요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3-1. 주요 지수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S&amp;P 500과 나스닥 선물 모두 사상 최고가를 달성했습니다. 어닝시즌에서 61%의 기업이 EPS 서프라이즈를 기록하며 강세장이 지속되고 있습니다.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현재가(선물)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7,303.50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+0.22%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28,277.25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+0.50%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49,508.00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+0.19%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17.38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-4.98%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3-2. 반도체·기술주 시세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현재가(USD)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AMD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355.26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+4.02%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 (마이크론)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640.20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+11.06%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INTC (인텔)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108.15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+12.92%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SMCI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27.83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-0.32%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ANET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170.22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-1.39%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3-3. 어닝시즌 평가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61%의 기업이 EPS에서 어닝 서프라이즈 기록 (1σ 이상)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66개 사가 "트리플 플레이" 달성 (전년 동기 30개 → 2.2배)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트리플 플레이 기업의 실적 발표 후 평균 주가 상승률: +8.6% (5년 평균 5% 상회)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3-4. 월가 주요 코멘트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JP모건 제이미 다이먼 CEO: "AI 기술은 수십 조 달러 투자 가치가 있다"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아마존 앤디 제시 CEO: "AI는 생애 최대의 기술 혁신, 모든 고객 경험을 재창조"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블랙록 토니 킴: "AI 자본지출 올해 약 1조 달러, 5년 내 2조 달러까지 증가 가능"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4. 거시경제 &amp; 지정학 리스크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4-1. 환율·원자재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0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1,457.90원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-0.76% ▼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 유가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$104.82/bbl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고가권</w:t>
            </w:r>
          </w:p>
        </w:tc>
      </w:tr>
      <w:tr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금(Gold)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$4,554.20</w:t>
            </w:r>
          </w:p>
        </w:tc>
        <w:tc>
          <w:tcPr>
            <w:tcW w:type="dxa" w:w="30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+0.46%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브렌트유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$109.87/bbl</w:t>
            </w:r>
          </w:p>
        </w:tc>
        <w:tc>
          <w:tcPr>
            <w:tcW w:type="dxa" w:w="30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-3.99% ▼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4-2. 지정학 리스크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중동: 트럼프 "프로젝트 프리덤" 개시 → 휴전 유지 신호, 유가 4% 급락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호르무즈 해협: 7월 말까지 공급 정상화 불확실 (골드만삭스 $140 시나리오 유지)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바클레이스: "10주 경과 후 재고 소진…분쟁 경제 영향은 지연되었을 뿐"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4-3. 인플레이션 &amp; Fed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4월 한국 CPI: +2.6% (21개월 만 최고)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미국 ISM 서비스 PMI: 53.6 (확장 국면 유지)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3월 신규주택 판매: +7.4% (예상 +3.0% 상회)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캐피털 이코노믹스: 상반기 CPI 4% 수준 예상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미국 10년물 국채 금리: 4.424% (-2.2bp)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5. 루나 교수님 사업 포트폴리오 시사점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📱 실용음악 입시 앱 개발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AI 인프라 투자가 올해 1조 달러 규모로 확대되면서 AI API·클라우드 비용은 지속 하락 추세입니다. 블랙록 등 글로벌 자금도 한국 AI·기술 스타트업에 우호적 시각을 보이고 있어, 실용음악 입시 전문 앱 개발에 유리한 자금 조달 환경이 조성되고 있습니다. AI 채점·피드백 기능 구현 비용이 낮아지는 시점으로 MVP 개발 최적기입니다.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☕ 커피스미스 프랜차이즈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WTI가 배럴당 104달러, 브렌트유가 109달러 고가권을 유지하고 있어 물류·에너지 원가 부담이 지속됩니다. 다만 원/달러 환율이 1,457원대로 2개월 만에 낮아지며 원두 등 수입 원자재 가격 부담은 소폭 완화되었습니다. 메뉴 가격 정책 재검토 시 환율 하락 트렌드를 활용한 수입 원자재 선구매 전략이 유효합니다.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🎵 실용음악·댄스 학원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코스피 7,300 돌파와 외국인 1조원 이상 순매수는 국내 소비 심리 개선 신호입니다. 자산 효과(주식 수익)가 고소득 가구의 교육·여가 지출을 늘릴 수 있어, 프리미엄 레슨·입시반 수요 확대가 기대됩니다. 단, 4월 CPI 2.6% 상승과 금리 부담은 중산층 소비에 부정적 영향을 미칠 수 있으므로 가격 전략에 유의가 필요합니다.</w:t>
      </w:r>
    </w:p>
    <w:p>
      <w:r>
        <w:t xml:space="preserv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6. 데이터 출처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6500"/>
            <w:shd w:fill="2E55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한국경제</w:t>
            </w:r>
          </w:p>
        </w:tc>
        <w:tc>
          <w:tcPr>
            <w:tcW w:type="dxa" w:w="6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https://www.hankyung.com/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매일경제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https://www.mk.co.kr/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다음금융</w:t>
            </w:r>
          </w:p>
        </w:tc>
        <w:tc>
          <w:tcPr>
            <w:tcW w:type="dxa" w:w="6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https://finance.daum.net/domestic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https://finance.yahoo.com/</w:t>
            </w:r>
          </w:p>
        </w:tc>
      </w:tr>
      <w:tr>
        <w:tc>
          <w:tcPr>
            <w:tcW w:type="dxa" w:w="2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이데일리</w:t>
            </w:r>
          </w:p>
        </w:tc>
        <w:tc>
          <w:tcPr>
            <w:tcW w:type="dxa" w:w="6500"/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https://www.edaily.co.kr/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Oilprice.com</w:t>
            </w:r>
          </w:p>
        </w:tc>
        <w:tc>
          <w:tcPr>
            <w:tcW w:type="dxa" w:w="65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https://oilprice.com/futures/wti/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※ 수집 시간: 2026-05-06 오전 10:10 KST 기준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⚠ 본 보고서는 투자 권유가 아닌 정보 제공 목적입니다. 투자 결정은 본인 책임 하에 이루어져야 합니다.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/>
      </w:pBdr>
    </w:pPr>
    <w:r>
      <w:rPr>
        <w:rFonts w:ascii="Arial" w:cs="Arial" w:eastAsia="Arial" w:hAnsi="Arial"/>
        <w:b/>
        <w:bCs/>
        <w:color w:val="2E5596"/>
        <w:sz w:val="20"/>
        <w:szCs w:val="20"/>
      </w:rPr>
      <w:t xml:space="preserve">한국·미국 증시 종합 리서치 보고서  |  2026년 5월 6일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2026-05-06T01:12:45.401Z</dcterms:created>
  <dcterms:modified xsi:type="dcterms:W3CDTF">2026-05-06T01:12:45.401Z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