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 w:before="800"/>
        <w:jc w:val="center"/>
      </w:pPr>
      <w:r>
        <w:rPr>
          <w:rFonts w:ascii="Arial" w:cs="Arial" w:eastAsia="Arial" w:hAnsi="Arial"/>
          <w:b/>
          <w:bCs/>
          <w:color w:val="2E5596"/>
          <w:sz w:val="56"/>
          <w:szCs w:val="56"/>
        </w:rPr>
        <w:t xml:space="preserve">한국·미국 증시 종합 리서치</w:t>
      </w:r>
    </w:p>
    <w:p>
      <w:pPr>
        <w:spacing w:after="200" w:before="0"/>
        <w:jc w:val="center"/>
      </w:pPr>
      <w:r>
        <w:rPr>
          <w:rFonts w:ascii="Arial" w:cs="Arial" w:eastAsia="Arial" w:hAnsi="Arial"/>
          <w:b/>
          <w:bCs/>
          <w:color w:val="404040"/>
          <w:sz w:val="36"/>
          <w:szCs w:val="36"/>
        </w:rPr>
        <w:t xml:space="preserve">2026년 5월 14일 (목)</w:t>
      </w:r>
    </w:p>
    <w:p>
      <w:pPr>
        <w:spacing w:after="600" w:before="0"/>
        <w:jc w:val="center"/>
      </w:pPr>
      <w:r>
        <w:rPr>
          <w:rFonts w:ascii="Arial" w:cs="Arial" w:eastAsia="Arial" w:hAnsi="Arial"/>
          <w:color w:val="707070"/>
          <w:sz w:val="22"/>
          <w:szCs w:val="22"/>
        </w:rPr>
        <w:t xml:space="preserve">출처: 한국경제 · 다음금융 · 이데일리 · Yahoo Finance · UsStockInfo MCP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1. 한국 증시 개요</w:t>
      </w:r>
    </w:p>
    <w:p>
      <w:pPr>
        <w:pStyle w:val="Heading2"/>
      </w:pPr>
      <w:r>
        <w:rPr>
          <w:rFonts w:ascii="Arial" w:cs="Arial" w:eastAsia="Arial" w:hAnsi="Arial"/>
        </w:rPr>
        <w:t xml:space="preserve">1-1. 주요 지수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18"/>
          <w:szCs w:val="18"/>
        </w:rPr>
        <w:t xml:space="preserve">기준: 2026년 5월 14일 (목) 12:32 실시간 / 코스닥은 5.13 종가 포함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000"/>
        <w:gridCol w:w="2946"/>
      </w:tblGrid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코스피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7,880.72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+0.47%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코스닥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1,167.56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-0.80%</w:t>
            </w:r>
          </w:p>
        </w:tc>
      </w:tr>
      <w:tr>
        <w:tc>
          <w:tcPr>
            <w:tcW w:type="dxa" w:w="3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000000"/>
                <w:sz w:val="20"/>
                <w:szCs w:val="20"/>
              </w:rPr>
              <w:t xml:space="preserve">코스피200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1,226.78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+0.54%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1-2. 투자자별 매매동향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700"/>
        <w:gridCol w:w="1700"/>
        <w:gridCol w:w="1700"/>
        <w:gridCol w:w="1846"/>
      </w:tblGrid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시장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외국인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개인</w:t>
            </w:r>
          </w:p>
        </w:tc>
        <w:tc>
          <w:tcPr>
            <w:tcW w:type="dxa" w:w="1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프로그램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코스피 (당일 12:32)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-17,823억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-2,767억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+19,795억</w:t>
            </w:r>
          </w:p>
        </w:tc>
        <w:tc>
          <w:tcPr>
            <w:tcW w:type="dxa" w:w="1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-7,845억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코스닥 (5.13 종가)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-6,102억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-33억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+6,051억</w:t>
            </w:r>
          </w:p>
        </w:tc>
        <w:tc>
          <w:tcPr>
            <w:tcW w:type="dxa" w:w="18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N/A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1-3. 업종별 등락률 상위 (WICS)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0"/>
        <w:gridCol w:w="3746"/>
      </w:tblGrid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업종 (WICS)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전자제품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+9.65%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도로와철도운송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+9.26%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디스플레이패널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+7.38%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백화점과일반상점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+7.10%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식품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+5.32%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항공사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+5.17%</w:t>
            </w:r>
          </w:p>
        </w:tc>
      </w:tr>
      <w:tr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손해보험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+5.25%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1-4. 상승률 상위 종목 — 코스피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94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 (코스피)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천일고속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295,000원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+29.96%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동양고속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56,200원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+29.94%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SK네트웍스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7,900원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+29.93%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삼진제약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23,250원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+29.89%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비에이치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37,450원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+24.21%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1-5. 상승률 상위 종목 — 코스닥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800"/>
        <w:gridCol w:w="294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 (코스닥)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현재가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폴레드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20,000원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+300.00%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코아시아씨엠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1,482원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소룩스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4,290원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+30.00%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코스모로보틱스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52,700원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+29.96%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TPC로보틱스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9,370원</w:t>
            </w:r>
          </w:p>
        </w:tc>
        <w:tc>
          <w:tcPr>
            <w:tcW w:type="dxa" w:w="29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+29.96%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1-6. 외국인 순매수 상위 (코스피, 5.13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000"/>
        <w:gridCol w:w="2746"/>
      </w:tblGrid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 (코스피)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순매수 금액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현대차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+1,999억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-1.34%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삼성전기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+900억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+0.19%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LG디스플레이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+617억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+7.97%</w:t>
            </w:r>
          </w:p>
        </w:tc>
      </w:tr>
      <w:t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기아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+467억</w:t>
            </w:r>
          </w:p>
        </w:tc>
        <w:tc>
          <w:tcPr>
            <w:tcW w:type="dxa" w:w="2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-2.06%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2. 주요 기업 실적 &amp; 뉴스</w:t>
      </w:r>
    </w:p>
    <w:p>
      <w:pPr>
        <w:pStyle w:val="Heading2"/>
      </w:pPr>
      <w:r>
        <w:rPr>
          <w:rFonts w:ascii="Arial" w:cs="Arial" w:eastAsia="Arial" w:hAnsi="Arial"/>
        </w:rPr>
        <w:t xml:space="preserve">2-1. 반도체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LG전자 (+12.07%): 장 초반 21만4,500원 돌파, 52주 신고가. 로보틱스·휴머노이드 액추에이터 양산 계획 및 데이터센터 냉각 수주 급증 기대. 하나증권 김민경 연구원은 매출 94.3조원, 영업이익 3.8조원(+55%) 전망.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삼성전자 (+4%대): D램 공급 타이트화 기대. JP모건은 '파업 시 주가 하락하면 저가 매수 기회'로 평가, 마이크론 반사수혜 전망.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SK하이닉스 (-0.71%): 외국인이 코스피 최대 순매도(-1조7,204억). 프리마켓 202만원 터치 후 200만원선 방어 실패.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네이버 (+6.7%): 배달의민족(우아한형제들) 인수 검토설 부각. 딜리버리히어로 매각 요구가 약 8조원 수준으로 알려짐.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삼성전자 파업 이슈: 중노위, 5월 16일 사후조정 재개 요청. 파업 장기화 시 TSMC 반사수혜 가능성 주목.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2-2. 애널리스트 코멘트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JP모건: 삼성전자 2분기 메모리 계약 가격 예상 상회 전망, 파업 시 저가 매수 권고.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뱅크오브아메리카: 엔비디아 목표주가 300달러→320달러 상향. '5월 20일 실적발표·6월 컴퓨텍스·하반기 베라루빈 출시 등 주가 촉매 다가오고 있다.'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하나증권 김민경: LG전자 로봇 PoC 계획을 2026년 상반기로 앞당긴 점에 주목.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3. 미국 증시 개요</w:t>
      </w:r>
    </w:p>
    <w:p>
      <w:pPr>
        <w:pStyle w:val="Heading2"/>
      </w:pPr>
      <w:r>
        <w:rPr>
          <w:rFonts w:ascii="Arial" w:cs="Arial" w:eastAsia="Arial" w:hAnsi="Arial"/>
        </w:rPr>
        <w:t xml:space="preserve">3-1. 주요 지수 (2026년 5월 13일 종가)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지수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 (5.13)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S&amp;P 500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7,444.25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+0.58% ★ 신고가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나스닥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26,402.34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+1.20% ★ 신고가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다우존스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~49,691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-0.14%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필라델피아 반도체(SOX)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+2.57%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3-2. Mag7 시세 (5월 13일 종가 기준)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1800"/>
        <w:gridCol w:w="1800"/>
        <w:gridCol w:w="3646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종목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종가 (USD)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등락률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시가총액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NVDA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$225.83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+2.29%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5.47조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AAPL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$298.87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+1.38%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4.39조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GOOGL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$402.62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+3.94%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4.88조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AMZN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$270.13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+1.62%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2.91조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META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$616.63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+2.26%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1.57조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TSLA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$445.27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0070C0"/>
                <w:sz w:val="20"/>
                <w:szCs w:val="20"/>
              </w:rPr>
              <w:t xml:space="preserve">+2.73%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1.67조 달러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MSFT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$405.21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color w:val="C00000"/>
                <w:sz w:val="20"/>
                <w:szCs w:val="20"/>
              </w:rPr>
              <w:t xml:space="preserve">-0.63%</w:t>
            </w:r>
          </w:p>
        </w:tc>
        <w:tc>
          <w:tcPr>
            <w:tcW w:type="dxa" w:w="36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3.01조 달러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3-3. 주요 이슈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엔비디아 (+2.29%): 젠슨 황 CEO가 트럼프 대통령 방중 에어포스원 합류, H200 칩 중국 판매 청신호 기대. ARM홀딩스(+6.39%), 마벨테크놀로지(+8.18%) 동반 급등.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알파벳(+3.94%), 테슬라(+2.73%), 메타(+2.26%), 아마존(+1.62%), 애플(+1.38%) 상승. 마이크로소프트(-0.63%) 유일 하락.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시스코: 장 마감 후 시간외 +10% 이상 급등. AI 인프라 부문 수주 전망 50억→90억달러 상향.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소프트웨어 약세: 세일즈포스(-3.19%), 서비스나우(-2.19%), 인튜이트(-4.13%).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3-4. 월가 코멘트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모건스탠리 마이크 윌슨 CIO: S&amp;P500 연말 목표 7,800→8,000 상향. '기업 실적 회복력이 강세 뒷받침.'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골드만삭스 트레이딩데스크: '위험선호도 지표(RAI)가 5년 만에 최고치. 현물 시장 과도 팽창 조짐.'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에버코어ISI: '현 AI 기업 P/E 약 39배 — 닷컴버블 최대 152배 대비 절대 수준 아님.'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4. 거시경제 &amp; 지정학 리스크</w:t>
      </w:r>
    </w:p>
    <w:p>
      <w:pPr>
        <w:pStyle w:val="Heading2"/>
      </w:pPr>
      <w:r>
        <w:rPr>
          <w:rFonts w:ascii="Arial" w:cs="Arial" w:eastAsia="Arial" w:hAnsi="Arial"/>
        </w:rPr>
        <w:t xml:space="preserve">4-1. 환율·원자재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746"/>
      </w:tblGrid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가격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559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USD/KRW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1,489.1원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하락 출발 (5.14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WTI 원유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$101.02/배럴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-1.1% (5.13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브렌트유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$105.63/배럴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-2.0% (7월물)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금 선물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$4,721.30/t.oz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A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-0.30% (5.12 기준)</w:t>
            </w:r>
          </w:p>
        </w:tc>
      </w:tr>
      <w:t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미 10년물 국채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4.467%</w:t>
            </w:r>
          </w:p>
        </w:tc>
        <w:tc>
          <w:tcPr>
            <w:tcW w:type="dxa" w:w="374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20"/>
                <w:szCs w:val="20"/>
              </w:rPr>
              <w:t xml:space="preserve">30년물 5.033% (5% 상회)</w:t>
            </w:r>
          </w:p>
        </w:tc>
      </w:tr>
    </w:tbl>
    <w:p>
      <w:pPr>
        <w:pStyle w:val="Heading2"/>
        <w:spacing w:before="200"/>
      </w:pPr>
      <w:r>
        <w:rPr>
          <w:rFonts w:ascii="Arial" w:cs="Arial" w:eastAsia="Arial" w:hAnsi="Arial"/>
        </w:rPr>
        <w:t xml:space="preserve">4-2. 인플레이션 / Fed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4월 PPI(생산자물가): 헤드라인 +1.4% MoM (예상 +0.5%의 약 3배), 전년비 +6.0% — 2022년 이후 최대. 에너지(+7.8%), 운송·창고(+5%) 주도.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미 국채 30년물: 발행금리 5.046% — 2007년 8월 이후 약 20년 만에 5% 상회. 10년물 4.467%.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케빈 워시 차기 Fed 의장: 상원 54대45 인준 통과 (공화당 전원 + 민주당 페터먼).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수전 콜린스 보스턴 연준 총재: '현재 긴축 정책 당분간 유지 가능성 높다.'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4-3. 유가 &amp; 호르무즈 해협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IEA: '3~4월 원유 재고 하루 400만 배럴씩 감소. 연말까지 공급 부족 유지.' 미 전략비축유(SPR) 지난주 860만 배럴 감소 — 역대 최대 주간 감소.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UBS: '글로벌 원유 재고 10년 만에 최저 수준 근접. 호르무즈 봉쇄 지속 시 패닉 매수 발생 가능.'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4-4. 미·중 정상회담 (트럼프 방중)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트럼프 대통령, 5월 13일 밤 베이징 도착. 젠슨 황·팀 쿡·일론 머스크 등 빅테크 CEO 동행.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주요 의제: AI 반도체 수출규제 완화, 이란 전쟁 중재, 무역(보잉·농산물 구매).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월가 평가 엇갈림: 울프리서치 '중국이 이란 압박에 나설 가능성 작다', 바클레이즈 '최소한의 긍정 결과, 패러다임 변화 없을 것'.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5. 루나 교수님 사업 포트폴리오 시사점</w:t>
      </w:r>
    </w:p>
    <w:p>
      <w:pPr>
        <w:pStyle w:val="Heading2"/>
      </w:pPr>
      <w:r>
        <w:rPr>
          <w:rFonts w:ascii="Arial" w:cs="Arial" w:eastAsia="Arial" w:hAnsi="Arial"/>
        </w:rPr>
        <w:t xml:space="preserve">5-1. 실용음악 입시 앱 개발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AI 인프라(NVDA·AAPL 신고가) 호황으로 클라우드·GPU 비용 중장기 하락 압력이 유지됩니다. 앱의 AI 음원 분석·피드백 기능 구현 시 API 비용 효율화 기회가 확대되고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코스닥 로봇·AI 테마주(코스모로보틱스 +30%, TPC로보틱스 +30%)가 과열 양상으로, EdTech·AI교육 섹터도 유사한 밸류에이션 기대를 받을 수 있습니다. 조기 앱 출시 후 초기 이용자 확보가 사업 가치 형성에 유리합니다.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미중 정상회담에서 AI 반도체 수출규제 완화 논의가 이루어지고 있어, 중장기적으로 AI 서비스 원가 절감이 기대됩니다.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5-2. 커피스미스 프랜차이즈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유가 $101(WTI) 고공행진은 물류비·포장재 원가 상승 압력으로 이어집니다. 4월 PPI(+1.4% MoM, 예상의 3배)는 원두·우유 등 식품 원자재 가격 인상 선행지표로, 메뉴 가격 조정 또는 원가 절감 방안 마련이 시급합니다.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원/달러 환율 1,489원대는 수입 원두 원가에 직접 영향을 미칩니다. 달러 강세 지속 시 헤징 전략(선물환 계약 등) 또는 원두 조기 재고 확보가 유리합니다.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5-3. 실용음악·댄스 학원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미 국채 30년물 5% 돌파와 국내 고금리 장기화 환경은 가계 가처분소득 압박으로 이어져 사교육·취미 학원 등록률에 하방 압력이 될 수 있습니다.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반면 코스닥 로봇·엔터테인먼트 관련주 급등(실용음악·K-POP 산업 성장 기대)은 실용음악 입시·취미 수요 기반을 장기 강화하는 메가트렌드와 맥락을 같이 합니다. 입시반 경쟁력 강화에 집중 투자할 시기입니다.</w:t>
      </w:r>
    </w:p>
    <w:p>
      <w:pPr>
        <w:pStyle w:val="Heading2"/>
        <w:spacing w:before="200"/>
      </w:pPr>
      <w:r>
        <w:rPr>
          <w:rFonts w:ascii="Arial" w:cs="Arial" w:eastAsia="Arial" w:hAnsi="Arial"/>
        </w:rPr>
        <w:t xml:space="preserve">5-4. 핵심 요약</w:t>
      </w:r>
    </w:p>
    <w:p>
      <w:pPr>
        <w:spacing w:after="120" w:before="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>S&amp;P500·나스닥 동반 신고가(AI 주도), 코스피 7,900선 탈환, 유가 $100 돌파 고공행진, 미중 정상회담이 동시에 진행되는 복합 환경입니다. 입시 앱 개발은 AI 비용 효율화 기회를 활용하여 개발을 가속화할 적기이며, 커피 사업은 고유가·고환율에 따른 원가 관리가 최우선 과제입니다. 학원 사업은 K-POP·실용음악 산업 성장 트렌드에 올라타는 차별화된 커리큘럼으로 경쟁력을 강화하시길 권고드립니다.</w:t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</w:rPr>
        <w:t xml:space="preserve">6. 데이터 출처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한국경제 (hankyung.com) — 시황·기업 뉴스·애널리스트 코멘트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이데일리 (edaily.co.kr) — 미국 증시·인플레이션 동향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다음 금융 (finance.daum.net) — 코스피·코스닥 실시간 지수·매매동향·업종·종목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UsStockInfo MCP — Mag7 (NVDA·AAPL·MSFT·GOOGL·AMZN·META·TSLA) 종가 및 시가총액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TheStreet (2026.05.13) — S&amp;P500·나스닥·다우 종가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머니투데이 (mt.co.kr) — 코스피 투자자별 동향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Investing.com — WTI·브렌트유·금 선물 가격</w:t>
      </w:r>
    </w:p>
    <w:p>
      <w:pPr>
        <w:spacing w:after="100"/>
      </w:pPr>
      <w:r>
        <w:rPr>
          <w:rFonts w:ascii="Arial" w:cs="Arial" w:eastAsia="Arial" w:hAnsi="Arial"/>
          <w:b w:val="false"/>
          <w:bCs w:val="false"/>
          <w:sz w:val="20"/>
          <w:szCs w:val="20"/>
        </w:rPr>
        <w:t xml:space="preserve"/>
      </w:r>
    </w:p>
    <w:p>
      <w:pPr>
        <w:pBdr>
          <w:top w:val="single" w:color="CCCCCC" w:sz="4" w:space="1"/>
        </w:pBdr>
        <w:spacing w:after="0" w:before="200"/>
      </w:pPr>
      <w:r>
        <w:rPr>
          <w:rFonts w:ascii="Arial" w:cs="Arial" w:eastAsia="Arial" w:hAnsi="Arial"/>
          <w:i/>
          <w:iCs/>
          <w:color w:val="808080"/>
          <w:sz w:val="18"/>
          <w:szCs w:val="18"/>
        </w:rPr>
        <w:t xml:space="preserve">※ 본 보고서는 투자 권유가 아닌 정보 제공 목적입니다. 투자 결정은 전문 금융 전문가와 상담 후 본인 판단으로 하시기 바랍니다.</w:t>
      </w:r>
    </w:p>
    <w:sectPr>
      <w:headerReference w:type="default" r:id="rId7"/>
      <w:footerReference w:type="default" r:id="rId8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center"/>
    </w:pPr>
    <w:r>
      <w:rPr>
        <w:rFonts w:ascii="Arial" w:cs="Arial" w:eastAsia="Arial" w:hAnsi="Arial"/>
        <w:color w:val="808080"/>
        <w:sz w:val="16"/>
        <w:szCs w:val="16"/>
      </w:rPr>
      <w:t xml:space="preserve">본 보고서는 정보 제공 목적이며 투자 권유가 아닙니다.  |  Page </w:t>
    </w:r>
    <w:r>
      <w:rPr>
        <w:rFonts w:ascii="Arial" w:cs="Arial" w:eastAsia="Arial" w:hAnsi="Arial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596" w:sz="6" w:space="1"/>
      </w:pBdr>
    </w:pPr>
    <w:r>
      <w:rPr>
        <w:rFonts w:ascii="Arial" w:cs="Arial" w:eastAsia="Arial" w:hAnsi="Arial"/>
        <w:color w:val="2E5596"/>
        <w:sz w:val="18"/>
        <w:szCs w:val="18"/>
      </w:rPr>
      <w:t xml:space="preserve">한국·미국 증시 종합 리서치 보고서  |  2026년 5월 14일 (목)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20"/>
      <w:outlineLvl w:val="0"/>
    </w:pPr>
    <w:rPr>
      <w:rFonts w:ascii="Arial" w:cs="Arial" w:eastAsia="Arial" w:hAnsi="Arial"/>
      <w:b/>
      <w:bCs/>
      <w:color w:val="2E5596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55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2026-05-14T03:37:45.921Z</dcterms:created>
  <dcterms:modified xsi:type="dcterms:W3CDTF">2026-05-14T03:37:45.921Z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