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Классификация обращений</w:t>
      </w:r>
    </w:p>
    <w:p>
      <w:r>
        <w:t>В работе вы обучите две системы, которые направляют обращения в один из шести отделов. Слова и символьные фрагменты сравниваются при одинаковом классификаторе. Постоянный ответ служит простой точкой отсчёта.</w:t>
      </w:r>
    </w:p>
    <w:p>
      <w:pPr>
        <w:pStyle w:val="Heading1"/>
      </w:pPr>
      <w:r>
        <w:t>Ход работы</w:t>
      </w:r>
    </w:p>
    <w:p>
      <w:r>
        <w:t xml:space="preserve">Откройте </w:t>
      </w:r>
      <w:r>
        <w:rPr>
          <w:rFonts w:ascii="Courier New" w:hAnsi="Courier New"/>
          <w:sz w:val="21"/>
        </w:rPr>
        <w:t>lab.ipynb</w:t>
      </w:r>
      <w:r>
        <w:t xml:space="preserve"> и изучите разбиение корпуса. После маленького примера оценки проверьте группы, разберите TF-IDF трёх документов, обучите baseline, а затем два Pipeline. Выбор выполняется на validation; test применяется к выбранному варианту.</w:t>
      </w:r>
    </w:p>
    <w:p>
      <w:r>
        <w:t xml:space="preserve">При чтении ошибок учитывайте </w:t>
      </w:r>
      <w:r>
        <w:rPr>
          <w:rFonts w:ascii="Courier New" w:hAnsi="Courier New"/>
          <w:sz w:val="21"/>
        </w:rPr>
        <w:t>group_id</w:t>
      </w:r>
      <w:r>
        <w:t>: несколько перефразировок одной ситуации не стоит выдавать за несколько независимых наблюдений. Прочитайте исходный текст и сопоставьте его с предсказанной категорией.</w:t>
      </w:r>
    </w:p>
    <w:p>
      <w:pPr>
        <w:pStyle w:val="Heading1"/>
      </w:pPr>
      <w:r>
        <w:t>Что сдавать</w:t>
      </w:r>
    </w:p>
    <w:p>
      <w:r>
        <w:t>Сдайте выполненный ноутбук с таблицами оценок, матрицей ошибок и разбором разных групп. В последнем разделе объясните выбранный вариант и предложите одну следующую проверку для замеченной ошибки. Отдельный дублирующий отчёт не требуется.</w:t>
      </w:r>
    </w:p>
    <w:p>
      <w:pPr>
        <w:pStyle w:val="Heading1"/>
      </w:pPr>
      <w:r>
        <w:t>Оценивание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231"/>
        <w:gridCol w:w="4365"/>
      </w:tblGrid>
      <w:tr>
        <w:trPr>
          <w:cantSplit/>
          <w:tblHeader/>
        </w:trPr>
        <w:tc>
          <w:tcPr>
            <w:tcW w:type="dxa" w:w="170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Критерий</w:t>
            </w:r>
          </w:p>
        </w:tc>
        <w:tc>
          <w:tcPr>
            <w:tcW w:type="dxa" w:w="323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Баллы</w:t>
            </w:r>
          </w:p>
        </w:tc>
        <w:tc>
          <w:tcPr>
            <w:tcW w:type="dxa" w:w="4365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Что учитывается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Код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40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Разбиение, признаки, обучение и метрики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Сравнение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30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Baseline, два Pipeline и итоговая проверка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Анализ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Конкретные ошибочные случаи и объяснение результата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Защита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10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Понимание пути текста через систему</w:t>
            </w:r>
          </w:p>
        </w:tc>
      </w:tr>
    </w:tbl>
    <w:p>
      <w:pPr>
        <w:spacing w:after="0"/>
      </w:pPr>
    </w:p>
    <w:p>
      <w:r>
        <w:t>Порог сдачи — 60 из 100. Перед сдачей перезапустите ядро и выполните все ячейки по порядку.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