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Эмбеддинги и поиск</w:t>
      </w:r>
    </w:p>
    <w:p>
      <w:pPr>
        <w:spacing w:after="340"/>
      </w:pPr>
      <w:r>
        <w:rPr>
          <w:i/>
          <w:color w:val="626773"/>
          <w:sz w:val="30"/>
        </w:rPr>
        <w:t>Как сравнивать тексты в общем пространстве</w:t>
      </w:r>
    </w:p>
    <w:p>
      <w:pPr>
        <w:pStyle w:val="Heading1"/>
      </w:pPr>
      <w:r>
        <w:t>От выбора отдела к поиску ответа</w:t>
      </w:r>
    </w:p>
    <w:p>
      <w:pPr>
        <w:pStyle w:val="Heading2"/>
      </w:pPr>
      <w:r>
        <w:t>Слайд 1. Эмбеддинги и поиск</w:t>
      </w:r>
    </w:p>
    <w:p>
      <w:r>
        <w:t xml:space="preserve">Классификатор может определить, что вопрос относится к библиотеке. Но студенту нужна конкретная инструкция: например, как продлить книгу и на какой срок. </w:t>
      </w:r>
    </w:p>
    <w:p>
      <w:pPr>
        <w:pStyle w:val="Heading2"/>
      </w:pPr>
      <w:r>
        <w:t>Слайд 2. Пользователю нужен документ</w:t>
      </w:r>
    </w:p>
    <w:p>
      <w:r>
        <w:t>Теперь результатом системы станет список документов, которые стоит прочитать для ответа.</w:t>
      </w:r>
    </w:p>
    <w:p>
      <w:r>
        <w:t>В нашей базе есть короткие тексты о библиотеке, общежитии, учебном процессе и других вопросах. Для каждого запроса нужно сравнить его с документами и расположить подходящие выше остальных. Это задача поиска и ранжирования.</w:t>
      </w:r>
    </w:p>
    <w:p>
      <w:r>
        <w:t>Можно начать с совпадений слов. В запросе «Как продлить книгу?» и документе о продлении встречаются общие слова и их фрагменты. TF-IDF уже даёт для этого числовое представление. Но запрос может содержать «выданное издание», а документ — «библиотечная книга». Тогда буквальное совпадение слабее, хотя тема близка.</w:t>
      </w:r>
    </w:p>
    <w:p>
      <w:r>
        <w:t>Сегодня разберём, какие представления помогают сравнивать тексты и что означает их геометрическая близость. Начнём с простых векторов, затем перейдём к плотным представлениям и соберём поиск по знакомой коллекции. Проверять будем не только число сходства, но и сам найденный документ.</w:t>
      </w:r>
    </w:p>
    <w:p>
      <w:pPr>
        <w:pStyle w:val="Heading1"/>
      </w:pPr>
      <w:r>
        <w:t>Текст получает место в пространстве</w:t>
      </w:r>
    </w:p>
    <w:p>
      <w:pPr>
        <w:pStyle w:val="Heading2"/>
      </w:pPr>
      <w:r>
        <w:t>Слайд 3. Смысл распределён по вектору</w:t>
      </w:r>
    </w:p>
    <w:p>
      <w:r>
        <w:t>После TF-IDF каждый документ представлен вектором одной и той же размерности. Его координаты связаны со словарными признаками. Если слова в документе нет, соответствующий вес равен нулю. У короткого сообщения ненулевых координат обычно намного меньше, чем размер всего словаря.</w:t>
      </w:r>
    </w:p>
    <w:p>
      <w:r>
        <w:t>Плотное представление устроено иначе. Координат может быть несколько сотен, и каждая из них обычно участвует в описании текста. При этом отдельная координата не обязана иметь очевидное название вроде «библиотека» или «недовольство». Полезная информация распределена по вектору.</w:t>
      </w:r>
    </w:p>
    <w:p>
      <w:r>
        <w:t>Такое векторное представление объекта часто называют эмбеддингом. Объектом может быть слово, токен в контексте, предложение или документ. Когда говорят «мы получили эмбеддинг», нужно уточнить, что именно представлено и каким способом.</w:t>
      </w:r>
    </w:p>
    <w:p>
      <w:pPr>
        <w:pStyle w:val="Heading2"/>
      </w:pPr>
      <w:r>
        <w:t>Слайд 4. Общее пространство векторов</w:t>
      </w:r>
    </w:p>
    <w:p>
      <w:r>
        <w:t>Для поиска требуется общее пространство. Если документы закодированы одним преобразованием, а запросы — другим несогласованным, одинаковое число координат их не спасёт. Первая координата одного вектора может иметь совсем другой смысл, чем первая координата другого.</w:t>
      </w:r>
    </w:p>
    <w:p>
      <w:r>
        <w:t>Представьте два географических плана с разным началом координат. Сравнивать пары чисел, не согласовав системы, неудобно. С векторами текста проблема похожа: нам нужно применять совместимые преобразования и сохранять связь каждой строки матрицы с исходным документом.</w:t>
      </w:r>
    </w:p>
    <w:p>
      <w:pPr>
        <w:pStyle w:val="Heading1"/>
      </w:pPr>
      <w:r>
        <w:t>Косинус сравнивает направления</w:t>
      </w:r>
    </w:p>
    <w:p>
      <w:pPr>
        <w:pStyle w:val="Heading2"/>
      </w:pPr>
      <w:r>
        <w:t>Слайд 5. Косинус сравнивает направления</w:t>
      </w:r>
    </w:p>
    <w:p>
      <w:r>
        <w:t>Один из распространённых способов сравнить векторы — косинусная близость:</w:t>
      </w:r>
    </w:p>
    <w:p>
      <w:pPr>
        <w:keepLines/>
        <w:spacing w:before="80" w:after="240"/>
        <w:ind w:left="142"/>
        <w:shd w:fill="F3F4F6"/>
      </w:pPr>
      <w:r>
        <w:rPr>
          <w:rFonts w:ascii="Courier New" w:hAnsi="Courier New"/>
          <w:sz w:val="21"/>
        </w:rPr>
        <w:t>cos(u, v) = (u · v) / (||u|| · ||v||)</w:t>
      </w:r>
    </w:p>
    <w:p>
      <w:r>
        <w:t>Числитель — скалярное произведение, знаменатель — произведение длин. Для ненулевых векторов значение находится между −1 и 1. Нас интересует направление: насколько согласованы координаты двух объектов после выбранного представления.</w:t>
      </w:r>
    </w:p>
    <w:p>
      <w:r>
        <w:t xml:space="preserve">Посчитаем на двумерном примере. Пусть u=(1;0), v=(1;1), w=(0;1). </w:t>
      </w:r>
    </w:p>
    <w:p>
      <w:pPr>
        <w:pStyle w:val="Heading2"/>
      </w:pPr>
      <w:r>
        <w:t>Слайд 6. Один косинус вручную</w:t>
      </w:r>
    </w:p>
    <w:p>
      <w:r>
        <w:t>Скалярное произведение u и v равно 1, длина u равна 1, длина v — √2. Поэтому cos(u,v)=1/√2≈0,7071. У u и w скалярное произведение нулевое, значит, cos(u,w)=0.</w:t>
      </w:r>
    </w:p>
    <w:p>
      <w:r>
        <w:t>Если заранее привести каждый вектор к длине 1, знаменатель больше не нужно вычислять при каждом сравнении: косинус равен скалярному произведению нормированных векторов. Это удобно, когда один запрос сравнивается сразу со всей матрицей документов.</w:t>
      </w:r>
    </w:p>
    <w:p>
      <w:pPr>
        <w:pStyle w:val="Heading2"/>
      </w:pPr>
      <w:r>
        <w:t>Слайд 7. Масштаб не меняет косинус</w:t>
      </w:r>
    </w:p>
    <w:p>
      <w:r>
        <w:t>Теперь заменим v на (10;10). Длина увеличилась в десять раз, скалярное произведение с u — тоже. Их отношение осталось прежним. Поэтому положительное масштабирование вектора не меняет косинус. Вектор стал длиннее, но сохранил направление.</w:t>
      </w:r>
    </w:p>
    <w:p>
      <w:pPr>
        <w:pStyle w:val="Heading2"/>
      </w:pPr>
      <w:r>
        <w:t>Слайд 8. Нулевой запрос требует решения</w:t>
      </w:r>
    </w:p>
    <w:p>
      <w:r>
        <w:t>Нулевой вектор — отдельный случай: его длина равна нулю, и формула не определена. Для TF-IDF такой запрос может получиться, если ни один его фрагмент не встретился в словаре. Вместо случайного ранжирования равных нулевых оценок наша функция вернёт пустую выдачу.</w:t>
      </w:r>
    </w:p>
    <w:p>
      <w:r>
        <w:t>Геометрическая близость сама по себе ещё не является вероятностью правильного ответа. Её смысл зависит от представления и обучающей задачи. Вектор документа на похожую тему может оказаться близким к вектору запроса, даже если в документе отсутствует нужное число или условие. В конце занятия мы увидим такой случай на вопросе о стипендии.</w:t>
      </w:r>
    </w:p>
    <w:p>
      <w:pPr>
        <w:pStyle w:val="Heading1"/>
      </w:pPr>
      <w:r>
        <w:t>Как SVD делает представление компактнее</w:t>
      </w:r>
    </w:p>
    <w:p>
      <w:pPr>
        <w:pStyle w:val="Heading2"/>
      </w:pPr>
      <w:r>
        <w:t>Слайд 9. SVD выбирает направления</w:t>
      </w:r>
    </w:p>
    <w:p>
      <w:r>
        <w:t>Попробуем перейти от разреженных векторов с большим числом словарных признаков к плотным векторам с небольшим числом координат. Truncated SVD выбирает несколько направлений, которые описывают существенную часть структуры исходной матрицы. Документы проецируются на эти направления.</w:t>
      </w:r>
    </w:p>
    <w:p>
      <w:r>
        <w:t>Запишем преобразование явно. SVD представляет матрицу как X=UΣVᵀ. Для сокращения оставляем k направлений, соответствующих наибольшим сингулярным значениям. Столбцы V_k — эти направления в исходном пространстве признаков. Новые координаты документов получаются умножением Z=XV_k, а запрос преобразуется как z_q=qV_k. Направления выбираются так, чтобы приближение исходной матрицы матрицей ранга k давало наименьшую сумму квадратов ошибок восстановления.</w:t>
      </w:r>
    </w:p>
    <w:p>
      <w:pPr>
        <w:pStyle w:val="Heading2"/>
      </w:pPr>
      <w:r>
        <w:t>Слайд 10. Проекция сохраняет выбранную ось</w:t>
      </w:r>
    </w:p>
    <w:p>
      <w:r>
        <w:t>Посмотрим на маленькую матрицу из трёх строк: X=((2;0), (0;1), (2;0)). Первая координата даёт сумму квадратов 2²+0²+2²=8, вторая — 0²+1²+0²=1; их скалярное произведение равно нулю. При сокращении до одного направления SVD оставляет первую ось, V₁=(1;0), с точностью до знака. Проекция даёт три числа: 2, 0 и 2. Например, (0;1)·(1;0)=0. Восстановить вторую координату из этих чисел уже нельзя: второй документ стал нулевым. Здесь знаки и направления особенно простые; в общем случае направление сочетает несколько исходных признаков.</w:t>
      </w:r>
    </w:p>
    <w:p>
      <w:r>
        <w:t>Этот пример объясняет и обработку нового запроса. Для q=(1;1) получим qV₁=1. Нельзя обучить для него новое направление и сравнить результат со старыми числами документов: они уже имеют конкретный смысл — проекцию на выбранную первую ось. После проекции ненулевые строки можно нормировать, а нулевые требуют отдельного решения.</w:t>
      </w:r>
    </w:p>
    <w:p>
      <w:pPr>
        <w:pStyle w:val="Heading2"/>
      </w:pPr>
      <w:r>
        <w:t>Слайд 11. Компактность меняет информацию</w:t>
      </w:r>
    </w:p>
    <w:p>
      <w:r>
        <w:t>Если исходная матрица X имеет размер «документы × признаки», после сокращения до k направлений получим «документы × k». В лабораторной матрица TF-IDF имеет размер 12×670: двенадцать документов и 670 признаков. После SVD с шестью направлениями получаем матрицу 12×6. Запрос должен пройти через тот же обученный преобразователь SVD, иначе его координаты не будут согласованы с документами.</w:t>
      </w:r>
    </w:p>
    <w:p>
      <w:r>
        <w:t>Почему такое сокращение иногда помогает? Некоторые словарные признаки встречаются вместе. Например, разные формулировки библиотечной темы могут связываться через набор сопутствующих слов. Проекция объединяет статистическую структуру нескольких исходных координат.</w:t>
      </w:r>
    </w:p>
    <w:p>
      <w:r>
        <w:t>При этом часть информации теряется. Редкий номер ошибки или точное имя может быть важным для поиска, даже если не определяет одно из крупных направлений матрицы. Поэтому компактность представления и качество выдачи — разные вопросы. Мы сравним результаты, а не объявим меньшую размерность автоматически лучшей.</w:t>
      </w:r>
    </w:p>
    <w:p>
      <w:r>
        <w:t>После SVD длины векторов различаются, поэтому снова применим L2-нормировку перед сравнением скалярным произведением. Если проекция запроса оказалась нулевой, его также нужно обработать отдельно.</w:t>
      </w:r>
    </w:p>
    <w:p>
      <w:r>
        <w:t>В этом способе плотные координаты получены линейным преобразованием нашей матрицы. Это хороший учебный мост к эмбеддингам, но не то же самое, что большой нейросетевой энкодер, обученный на других корпусах. Позже мы сравним оба подхода по их фактическому поведению.</w:t>
      </w:r>
    </w:p>
    <w:p>
      <w:pPr>
        <w:pStyle w:val="Heading1"/>
      </w:pPr>
      <w:r>
        <w:t>От окружения слова к Word2Vec</w:t>
      </w:r>
    </w:p>
    <w:p>
      <w:pPr>
        <w:pStyle w:val="Heading2"/>
      </w:pPr>
      <w:r>
        <w:t>Слайд 12. Окно создаёт обучающие пары</w:t>
      </w:r>
    </w:p>
    <w:p>
      <w:r>
        <w:t>Другая идея — учить представления по окружениям слов. Слова, употребляющиеся в похожих контекстах, получают связанные обучающие сигналы. Так можно получить полезные векторы без разметки каждого слова по тематической категории.</w:t>
      </w:r>
    </w:p>
    <w:p>
      <w:r>
        <w:t>Возьмём предложение «Студент читает новую книгу». Выберем слово «читает» и соседние слова. В варианте skip-gram обучающая задача состоит в том, чтобы по центральному слову предсказывать элементы его окружения. Из большого числа таких пар модель подбирает представления, позволяющие различать характерные и менее характерные сочетания.</w:t>
      </w:r>
    </w:p>
    <w:p>
      <w:r>
        <w:t>Пусть окно включает по одному слову слева и справа. Для центра «читает» получаются две положительные пары: («читает», «студент») и («читает», «новую»). «Книгу» в это окно не входит: между ним и центром два шага. Если увеличить радиус до двух, появится и эта пара. Поэтому размер окна определяет, какие соседства превращаются в обучающие ответы.</w:t>
      </w:r>
    </w:p>
    <w:p>
      <w:pPr>
        <w:pStyle w:val="Heading2"/>
      </w:pPr>
      <w:r>
        <w:t>Слайд 13. Skip-gram и CBOW меняют задачу</w:t>
      </w:r>
    </w:p>
    <w:p>
      <w:r>
        <w:t>В Word2Vec есть также вариант CBOW: по окружению предсказывается центральное слово. Эти задачи устроены иначе, чем классификация обращений. Обучающий ответ создаётся из самого текста, из положения слов в нём.</w:t>
      </w:r>
    </w:p>
    <w:p>
      <w:r>
        <w:t>В том же примере CBOW получает окружение «студент», «новую» и должен предсказать «читает». Сравним направления предсказания: у skip-gram стрелки идут от центра к соседям, у CBOW — от представления соседей к центру. Это разные направления обучающей задачи на одном фрагменте корпуса.</w:t>
      </w:r>
    </w:p>
    <w:p>
      <w:pPr>
        <w:pStyle w:val="Heading2"/>
      </w:pPr>
      <w:r>
        <w:t>Слайд 14. Учимся различать пары</w:t>
      </w:r>
    </w:p>
    <w:p>
      <w:r>
        <w:t>Для большого словаря сравнивать каждую пару со всеми возможными словами дорого. В обучении с negative sampling настоящая пара противопоставляется выбранным отрицательным примерам. Мы не будем реализовывать этот алгоритм в обязательной работе, но важно понимать, откуда берётся сигнал для векторов: он связан с наблюдаемыми окружениями.</w:t>
      </w:r>
    </w:p>
    <w:p>
      <w:r>
        <w:t>Например, положительной паре («читает», «студент») можно противопоставить выбранную для этого шага пару («читает», «замок»). В обучении используются векторы центральных и контекстных слов: их скалярное произведение превращается сигмоидой в оценку принадлежности пары к наблюдаемым соседствам. Потеря поощряет большую оценку для положительной пары и меньшую для выбранной отрицательной. Это не утверждение, что сочетание с «замком» невозможно в языке: здесь оно выступает отрицательным примером конкретного шага.</w:t>
      </w:r>
    </w:p>
    <w:p>
      <w:r>
        <w:t>Полученный статический словарь обычно хранит один вектор на слово. У «ключа» этот вектор общий для разных употреблений. Можно увидеть смешение нескольких характерных окружений, но конкретное значение в данном предложении ещё не выбрано.</w:t>
      </w:r>
    </w:p>
    <w:p>
      <w:r>
        <w:t>Близкие векторы отражают близость употребления, которая не всегда совпадает с синонимией. «Горячий» и «холодный» встречаются в похожих грамматических конструкциях и рядом с одними и теми же существительными. Это полезно помнить, когда список ближайших соседей содержит слово с противоположным значением.</w:t>
      </w:r>
    </w:p>
    <w:p>
      <w:pPr>
        <w:pStyle w:val="Heading1"/>
      </w:pPr>
      <w:r>
        <w:t>Подслова помогают работать со словоформами</w:t>
      </w:r>
    </w:p>
    <w:p>
      <w:pPr>
        <w:pStyle w:val="Heading2"/>
      </w:pPr>
      <w:r>
        <w:t>Слайд 15. Подслова помогают новой форме</w:t>
      </w:r>
    </w:p>
    <w:p>
      <w:r>
        <w:t>Статическому словарю трудно обработать слово, которого в нём нет. Можно заменить его общим UNK-вектором, но тогда разные неизвестные слова становятся неразличимыми. Для русского языка это особенно заметно из-за множества словоформ.</w:t>
      </w:r>
    </w:p>
    <w:p>
      <w:r>
        <w:t>fastText использует представления символьных фрагментов слова. Общие части позволяют связать формы вроде «книга» и «книгой». Для нового слова можно собрать представление из известных подсловных элементов, если они были изучены при обучении.</w:t>
      </w:r>
    </w:p>
    <w:p>
      <w:r>
        <w:t>Это не морфологический разбор в школьном смысле. Границы символьной n-граммы не обязаны совпадать с границами приставки, корня или окончания. Модель использует повторяющиеся фрагменты как обучаемые признаки.</w:t>
      </w:r>
    </w:p>
    <w:p>
      <w:r>
        <w:t>У этого подхода есть связь с символьными признаками предыдущей лабораторной. Там мы непосредственно подавали веса фрагментов классификатору. Здесь части слова участвуют в построении плотного вектора. Общая идея — использовать регулярности внутри написания, но полученные представления и обучающие задачи различаются.</w:t>
      </w:r>
    </w:p>
    <w:p>
      <w:r>
        <w:t>Подсловная структура помогает не во всех случаях. Похожие по написанию слова могут иметь разные значения, а непохожие — описывать одну тему. Поэтому качество поиска всё равно нужно проверять на запросах и найденных документах.</w:t>
      </w:r>
    </w:p>
    <w:p>
      <w:pPr>
        <w:pStyle w:val="Heading1"/>
      </w:pPr>
      <w:r>
        <w:t>Представление слова может зависеть от предложения</w:t>
      </w:r>
    </w:p>
    <w:p>
      <w:pPr>
        <w:pStyle w:val="Heading2"/>
      </w:pPr>
      <w:r>
        <w:t>Слайд 16. Контекст меняет вектор позиции</w:t>
      </w:r>
    </w:p>
    <w:p>
      <w:r>
        <w:t>Контекстная модель получает не одно слово, а последовательность. Представление «ключа» в «ключе от комнаты» может отличаться от его представления в «ключе доступа». Окружение участвует непосредственно в вычислении вектора для данного употребления.</w:t>
      </w:r>
    </w:p>
    <w:p>
      <w:pPr>
        <w:pStyle w:val="Heading2"/>
      </w:pPr>
      <w:r>
        <w:t>Слайд 17. От текста к вектору документа</w:t>
      </w:r>
    </w:p>
    <w:p>
      <w:r>
        <w:t>Это меняет и единицу, которую мы сравниваем. Статический вектор относится к слову в словаре. Контекстный — к позиции в конкретном входе. А для поиска по документам нужен ещё способ получить один вектор из последовательности таких представлений.</w:t>
      </w:r>
    </w:p>
    <w:p>
      <w:r>
        <w:t>Можно усреднить векторы доступных токенов или использовать специальную позицию, если модель была подготовлена к такому использованию. Но способ агрегации должен соответствовать выбранной модели. На шестом занятии мы посмотрим на конкретный энкодер, его токенизатор и рекомендованный способ получить представление текста.</w:t>
      </w:r>
    </w:p>
    <w:p>
      <w:r>
        <w:t>Различайте три вопроса: что подано модели, векторы каких объектов она вернула и какой вектор мы используем в поиске. Без этого легко назвать одним словом «эмбеддинг» несколько разных массивов и сравнить несопоставимые вещи.</w:t>
      </w:r>
    </w:p>
    <w:p>
      <w:r>
        <w:t>В сегодняшней лабораторной плотное представление будет проще: TF-IDF и SVD. Благодаря этому весь индекс строится на двенадцати документах, а влияние сокращения размерности можно проследить без загрузки нейросети.</w:t>
      </w:r>
    </w:p>
    <w:p>
      <w:pPr>
        <w:pStyle w:val="Heading1"/>
      </w:pPr>
      <w:r>
        <w:t>Индекс и запрос должны совпадать по координатам</w:t>
      </w:r>
    </w:p>
    <w:p>
      <w:pPr>
        <w:pStyle w:val="Heading2"/>
      </w:pPr>
      <w:r>
        <w:t>Слайд 18. Запрос проходит тот же путь</w:t>
      </w:r>
    </w:p>
    <w:p>
      <w:r>
        <w:t>Соберём поиск по шагам. Сначала берём известные документы, соединяем заголовок и текст, обучаем TF-IDF и сохраняем полученную матрицу. Для второго варианта обучаем SVD на этой матрице и нормируем строки.</w:t>
      </w:r>
    </w:p>
    <w:p>
      <w:r>
        <w:t xml:space="preserve">Каждая строка должна оставаться связанной со своим </w:t>
      </w:r>
      <w:r>
        <w:rPr>
          <w:rFonts w:ascii="Courier New" w:hAnsi="Courier New"/>
          <w:sz w:val="21"/>
        </w:rPr>
        <w:t>doc_id</w:t>
      </w:r>
      <w:r>
        <w:t>. Если перемешать документы отдельно от векторов, можно получить правильное число сходства рядом с чужим заголовком. Поэтому индекс хранит не только числа, но и соответствие между представлением и источником.</w:t>
      </w:r>
    </w:p>
    <w:p>
      <w:r>
        <w:t xml:space="preserve">Новый запрос проходит через тот же TF-IDF. Для плотного варианта после него применяется тот же SVD и та же нормировка. Здесь выполняется </w:t>
      </w:r>
      <w:r>
        <w:rPr>
          <w:rFonts w:ascii="Courier New" w:hAnsi="Courier New"/>
          <w:sz w:val="21"/>
        </w:rPr>
        <w:t>transform</w:t>
      </w:r>
      <w:r>
        <w:t>, а не новое обучение. Затем считаем близость со всеми строками индекса и сортируем оценки по убыванию.</w:t>
      </w:r>
    </w:p>
    <w:p>
      <w:r>
        <w:t xml:space="preserve">Если оценки равны, нужен понятный порядок, например по </w:t>
      </w:r>
      <w:r>
        <w:rPr>
          <w:rFonts w:ascii="Courier New" w:hAnsi="Courier New"/>
          <w:sz w:val="21"/>
        </w:rPr>
        <w:t>doc_id</w:t>
      </w:r>
      <w:r>
        <w:t>. При сортировке используем исходные числа, а округление оставляем для показа. Иначе разные близкие оценки после округления могут стать равными и случайно поменять порядок результатов.</w:t>
      </w:r>
    </w:p>
    <w:p>
      <w:r>
        <w:t>Почему сейчас можно обучить представление по всем двенадцати документам? Потому что эти документы — заранее известная база, по которой системе разрешено искать. Проверочные вопросы и их эталонные ответы в индекс не включаются. Мы проверяем, как система отвечает на новые запросы к доступной коллекции.</w:t>
      </w:r>
    </w:p>
    <w:p>
      <w:r>
        <w:t>Это отличается от подготовки классификатора предыдущего занятия, где test содержал новые объекты, предназначенные для оценки переноса. Разделение данных определяется постановкой. Важно понимать, какая информация доступна системе до появления проверочного запроса.</w:t>
      </w:r>
    </w:p>
    <w:p>
      <w:pPr>
        <w:pStyle w:val="Heading1"/>
      </w:pPr>
      <w:r>
        <w:t>Качество выдачи зависит от ранга</w:t>
      </w:r>
    </w:p>
    <w:p>
      <w:pPr>
        <w:pStyle w:val="Heading2"/>
      </w:pPr>
      <w:r>
        <w:t>Слайд 19. Ранг меняет вклад в метрику</w:t>
      </w:r>
    </w:p>
    <w:p>
      <w:r>
        <w:t>Предположим, у каждого ответимого вопроса есть один размеченный релевантный документ. Recall@k показывает долю вопросов, для которых этот документ оказался среди первых k результатов. Для k=1 проверяется только верхняя позиция, для k=3 — первые три.</w:t>
      </w:r>
    </w:p>
    <w:p>
      <w:r>
        <w:t>MRR@k учитывает также ранг. Если эталон на первом месте, вклад равен 1; на втором — 1/2; на третьем — 1/3. Если его нет в первых k, вклад равен нулю. Затем вклады усредняются по вопросам.</w:t>
      </w:r>
    </w:p>
    <w:p>
      <w:r>
        <w:t xml:space="preserve">Посчитаем пример из четырёх ответимых вопросов. Ранги эталонов: 1, 3, вне top-3 и 2. </w:t>
      </w:r>
    </w:p>
    <w:p>
      <w:pPr>
        <w:pStyle w:val="Heading2"/>
      </w:pPr>
      <w:r>
        <w:t>Слайд 20. Попадание и ранг</w:t>
      </w:r>
    </w:p>
    <w:p>
      <w:r>
        <w:t xml:space="preserve">Тогда Recall@1=1/4=0,25; Recall@3=3/4=0,75. MRR@3 равна </w:t>
      </w:r>
      <w:r>
        <w:rPr>
          <w:rFonts w:ascii="Courier New" w:hAnsi="Courier New"/>
          <w:sz w:val="21"/>
        </w:rPr>
        <w:t>(1 + 1/3 + 0 + 1/2)/4 ≈ 0,4583</w:t>
      </w:r>
      <w:r>
        <w:t>.</w:t>
      </w:r>
    </w:p>
    <w:p>
      <w:r>
        <w:t>Два метода могут иметь одинаковую Recall@3, но разную MRR@3: один чаще ставит правильный документ первым, другой — третьим. Для пользователя это заметное различие, особенно если он читает только верхний результат.</w:t>
      </w:r>
    </w:p>
    <w:p>
      <w:r>
        <w:t>Вопросы, для которых в базе вообще нет ответа, нужно рассматривать отдельно. У них нет эталона, который можно найти в top-3. Если молча включить их в тот же подсчёт, мы смешаем две задачи: поиск известного источника и определение отсутствия сведений.</w:t>
      </w:r>
    </w:p>
    <w:p>
      <w:r>
        <w:t>В нашей таблице тридцать вопросов, из них двадцать четыре с ответом. Для валидации используются восемь ответимых вопросов, для теста — шестнадцать; остальные нужны для разбора отсутствия ответа. В отчёте важно указывать эти знаменатели, чтобы было понятно, по скольким случаям вычислена метрика.</w:t>
      </w:r>
    </w:p>
    <w:p>
      <w:pPr>
        <w:pStyle w:val="Heading1"/>
      </w:pPr>
      <w:r>
        <w:t>Что рассказывают конкретные запросы</w:t>
      </w:r>
    </w:p>
    <w:p>
      <w:pPr>
        <w:pStyle w:val="Heading2"/>
      </w:pPr>
      <w:r>
        <w:t>Слайд 21. Место при нулевой оценке</w:t>
      </w:r>
    </w:p>
    <w:p>
      <w:r>
        <w:t>Запрос Q04 «Какие сведения нужны при технической ошибке?» нашёл документ D02 третьим в TF-IDF и первым после SVD в валидационном разборе. Откройте выдачу и сам документ: нужные сведения там действительно перечислены. Так можно понять, что означает изменение ранга для ответа пользователю.</w:t>
      </w:r>
    </w:p>
    <w:p>
      <w:r>
        <w:t xml:space="preserve">У этого примера есть важная деталь. Первые три результата TF-IDF: D05 с оценкой около 0,0855, D01 с 0,0807 и D02 с нулём. После SVD оценка D02 составляет около 0,7899. В выдаче TF-IDF оценка D02 равна нулю. На третье место он попал среди равных нулевых кандидатов по правилу сортировки </w:t>
      </w:r>
      <w:r>
        <w:rPr>
          <w:rFonts w:ascii="Courier New" w:hAnsi="Courier New"/>
          <w:sz w:val="21"/>
        </w:rPr>
        <w:t>doc_id</w:t>
      </w:r>
      <w:r>
        <w:t>, после двух документов с положительной оценкой. Поэтому попадание в top-3 здесь не доказывает полезного лексического совпадения с D02. После SVD он получил положительную оценку близости и поднялся на первое место. Ранг, исходная оценка и текст документа вместе рассказывают больше, чем одно попадание.</w:t>
      </w:r>
    </w:p>
    <w:p>
      <w:pPr>
        <w:pStyle w:val="Heading2"/>
      </w:pPr>
      <w:r>
        <w:t>Слайд 22. Разница — одно попадание</w:t>
      </w:r>
    </w:p>
    <w:p>
      <w:r>
        <w:t>В лабораторной мы сравним TF-IDF и TF-IDF→SVD(6). На тестовых ответимых вопросах у обоих методов Recall@1 в исходном опыте равна 0,875. При расширении выдачи до трёх документов у TF-IDF Recall@3 около 0,9375, у SVD — 1. Эти числа полезно сопоставить с теми запросами, где порядок изменился.</w:t>
      </w:r>
    </w:p>
    <w:p>
      <w:pPr>
        <w:pStyle w:val="Heading2"/>
      </w:pPr>
      <w:r>
        <w:t>Слайд 23. Близость не добавляет фактов</w:t>
      </w:r>
    </w:p>
    <w:p>
      <w:r>
        <w:t>Другой вопрос касается суммы стипендии. Точная формулировка Q26 — «Сколько рублей составляет академическая стипендия?». Нужного числа в нашей базе нет, однако SVD находит документ D11 с косинусом около 0,9909. Высокое сходство не добавляет в документ отсутствующую сумму. Этот случай особенно важен перед RAG: генератору потребуется различать полезный источник и документ, который просто относится к похожей теме.</w:t>
      </w:r>
    </w:p>
    <w:p>
      <w:r>
        <w:t>Иногда векторы показывают на двумерной картинке. Это удобная иллюстрация: можно отметить вопросы, документы и группы. Но исходные сравнения выполняются в полном пространстве. При проекции на две координаты часть различий теряется, поэтому близость точек на рисунке нельзя использовать вместо метрики выдачи.</w:t>
      </w:r>
    </w:p>
    <w:p>
      <w:r>
        <w:t>Смысл работы — связать числа с найденным содержимым. Выберите запрос, проследите его преобразование, посмотрите на верхние документы и объясните, где есть ответ. Затем возьмите вопрос без ответа и покажите, почему самый высокий балл не решает проблему.</w:t>
      </w:r>
    </w:p>
    <w:p>
      <w:r>
        <w:t>На следующем занятии мы перейдём от сравнения готовых текстов к предсказанию продолжения. Вероятностная языковая модель будет назначать оценки следующему токену, а мы разберём, как из них получается последовательность.</w:t>
      </w:r>
    </w:p>
    <w:p>
      <w:pPr>
        <w:pStyle w:val="Heading1"/>
      </w:pPr>
      <w:r>
        <w:t>Для дальнейшего чтения</w:t>
      </w:r>
    </w:p>
    <w:p>
      <w:pPr>
        <w:ind w:left="198" w:hanging="198"/>
      </w:pPr>
      <w:r>
        <w:t xml:space="preserve">– </w:t>
      </w:r>
      <w:hyperlink r:id="rId11">
        <w:r>
          <w:rPr>
            <w:color w:val="6D2E46"/>
            <w:u w:val="single"/>
          </w:rPr>
          <w:t>Mikolov et al. Efficient Estimation of Word Representations in Vector Space</w:t>
        </w:r>
      </w:hyperlink>
      <w:r>
        <w:t>.</w:t>
      </w:r>
    </w:p>
    <w:p>
      <w:pPr>
        <w:ind w:left="198" w:hanging="198"/>
      </w:pPr>
      <w:r>
        <w:t xml:space="preserve">– </w:t>
      </w:r>
      <w:hyperlink r:id="rId12">
        <w:r>
          <w:rPr>
            <w:color w:val="6D2E46"/>
            <w:u w:val="single"/>
          </w:rPr>
          <w:t>Mikolov et al. Distributed Representations of Words and Phrases</w:t>
        </w:r>
      </w:hyperlink>
      <w:r>
        <w:t>.</w:t>
      </w:r>
    </w:p>
    <w:p>
      <w:pPr>
        <w:ind w:left="198" w:hanging="198"/>
      </w:pPr>
      <w:r>
        <w:t xml:space="preserve">– </w:t>
      </w:r>
      <w:hyperlink r:id="rId13">
        <w:r>
          <w:rPr>
            <w:color w:val="6D2E46"/>
            <w:u w:val="single"/>
          </w:rPr>
          <w:t>Bojanowski et al. Enriching Word Vectors with Subword Information</w:t>
        </w:r>
      </w:hyperlink>
      <w:r>
        <w:t>.</w:t>
      </w:r>
    </w:p>
    <w:p>
      <w:pPr>
        <w:ind w:left="198" w:hanging="198"/>
      </w:pPr>
      <w:r>
        <w:t xml:space="preserve">– </w:t>
      </w:r>
      <w:hyperlink r:id="rId14">
        <w:r>
          <w:rPr>
            <w:color w:val="6D2E46"/>
            <w:u w:val="single"/>
          </w:rPr>
          <w:t>scikit-learn: TruncatedSVD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1301.3781" TargetMode="External"/><Relationship Id="rId12" Type="http://schemas.openxmlformats.org/officeDocument/2006/relationships/hyperlink" Target="https://arxiv.org/abs/1310.4546" TargetMode="External"/><Relationship Id="rId13" Type="http://schemas.openxmlformats.org/officeDocument/2006/relationships/hyperlink" Target="https://aclanthology.org/Q17-1010/" TargetMode="External"/><Relationship Id="rId14" Type="http://schemas.openxmlformats.org/officeDocument/2006/relationships/hyperlink" Target="https://scikit-learn.org/stable/modules/generated/sklearn.decomposition.TruncatedSV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