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MCP и инструменты создания презентаций</w:t>
      </w:r>
    </w:p>
    <w:p>
      <w:r>
        <w:t xml:space="preserve">Для этой редакции выбран и практически проверен локальный </w:t>
      </w:r>
      <w:hyperlink r:id="rId11">
        <w:r>
          <w:rPr>
            <w:color w:val="6D2E46"/>
            <w:u w:val="single"/>
          </w:rPr>
          <w:t>mypoint-mcp</w:t>
        </w:r>
      </w:hyperlink>
      <w:r>
        <w:t xml:space="preserve">, который создаёт PowerPoint через </w:t>
      </w:r>
      <w:hyperlink r:id="rId12">
        <w:r>
          <w:rPr>
            <w:color w:val="6D2E46"/>
            <w:u w:val="single"/>
          </w:rPr>
          <w:t>PptxGenJS</w:t>
        </w:r>
      </w:hyperlink>
      <w:r>
        <w:t>. Клиент выполняет настоящие операции MCP по stdio: инициализацию, получение списка инструментов, добавление объектов и сохранение файла. Переподключение сессии Codex для этого способа не требуется.</w:t>
      </w:r>
    </w:p>
    <w:p>
      <w:r>
        <w:t>Это запуск сервера из сборочного скрипта, а не заявление о зарегистрированном встроенном инструменте Presentations в интерфейсе. Локальная копия сервера расширена для notes, форматированных фрагментов, фона и параметров фигур. Ревизия upstream: 94cba87b91782c9fbf53bda11ca1f50f8d9c34c3; изменения включены в исходники курса.</w:t>
      </w:r>
    </w:p>
    <w:p>
      <w:r>
        <w:t>Качество обеспечивается подготовкой конкретных слайдов и просмотром результата. MCP даёт операции, а композиция задаётся кодом: отбор тезиса, схема вычисления, крупные обозначения и синхронизация с лекцией. Такой способ позволил воспроизвести выбранный стиль без типового оформления генератора презентаций.</w:t>
      </w:r>
    </w:p>
    <w:p>
      <w:r>
        <w:t xml:space="preserve">Дополнительно использован </w:t>
      </w:r>
      <w:hyperlink r:id="rId13">
        <w:r>
          <w:rPr>
            <w:color w:val="6D2E46"/>
            <w:u w:val="single"/>
          </w:rPr>
          <w:t>навык pptx из anthropics/skills</w:t>
        </w:r>
      </w:hyperlink>
      <w:r>
        <w:t>: работа с редактируемыми объектами, проверка файла и визуальная приёмка. Проектный SKILL.md описывает уже работающую процедуру именно этого курса.</w:t>
      </w:r>
    </w:p>
    <w:p>
      <w:r>
        <w:t xml:space="preserve">При поиске рассматривались также </w:t>
      </w:r>
      <w:hyperlink r:id="rId14">
        <w:r>
          <w:rPr>
            <w:color w:val="6D2E46"/>
            <w:u w:val="single"/>
          </w:rPr>
          <w:t>PowerPoint MCP через COM</w:t>
        </w:r>
      </w:hyperlink>
      <w:r>
        <w:t xml:space="preserve">, </w:t>
      </w:r>
      <w:hyperlink r:id="rId15">
        <w:r>
          <w:rPr>
            <w:color w:val="6D2E46"/>
            <w:u w:val="single"/>
          </w:rPr>
          <w:t>Figma MCP</w:t>
        </w:r>
      </w:hyperlink>
      <w:r>
        <w:t xml:space="preserve"> и </w:t>
      </w:r>
      <w:hyperlink r:id="rId16">
        <w:r>
          <w:rPr>
            <w:color w:val="6D2E46"/>
            <w:u w:val="single"/>
          </w:rPr>
          <w:t>Canva MCP</w:t>
        </w:r>
      </w:hyperlink>
      <w:r>
        <w:t>. Они не проходили здесь сравнительную практическую приёмку. COM-вариант предполагает установленный PowerPoint; внешние редакторы требуют отдельной проверки доступных клиенту операций и итогового экспорта. Для завершения курса они не понадобились.</w:t>
      </w:r>
    </w:p>
    <w:p>
      <w:r>
        <w:t>Gamma исключена по предпочтению автора. Пятислайдовый образец Mixture of Experts и все лекционные презентации создаются тем же локальным процессом. Исходники формул, диаграмм и подписи источников сохраняются для последующей редакции.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gwanai/mypoint-mcp" TargetMode="External"/><Relationship Id="rId12" Type="http://schemas.openxmlformats.org/officeDocument/2006/relationships/hyperlink" Target="https://github.com/gitbrent/PptxGenJS" TargetMode="External"/><Relationship Id="rId13" Type="http://schemas.openxmlformats.org/officeDocument/2006/relationships/hyperlink" Target="https://github.com/anthropics/skills/tree/main/skills/pptx" TargetMode="External"/><Relationship Id="rId14" Type="http://schemas.openxmlformats.org/officeDocument/2006/relationships/hyperlink" Target="https://github.com/Ayushmaniar/powerpoint-mcp" TargetMode="External"/><Relationship Id="rId15" Type="http://schemas.openxmlformats.org/officeDocument/2006/relationships/hyperlink" Target="https://www.figma.com/mcp-catalog/" TargetMode="External"/><Relationship Id="rId16" Type="http://schemas.openxmlformats.org/officeDocument/2006/relationships/hyperlink" Target="https://www.canva.dev/docs/mc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