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Оценивание и устный зачёт</w:t>
      </w:r>
    </w:p>
    <w:p>
      <w:r>
        <w:t>Курс: «Системы искусственного интеллекта: обработка естественного языка». Все баллы ниже относятся к предъявленной работе и объяснению студента. Качество ответа небольшой модели оценивается отдельно и может быть низким при правильно выполненном эксперименте.</w:t>
      </w:r>
    </w:p>
    <w:p>
      <w:pPr>
        <w:pStyle w:val="Heading1"/>
      </w:pPr>
      <w:r>
        <w:t>Лабораторные</w:t>
      </w:r>
    </w:p>
    <w:p>
      <w:r>
        <w:t>Восемь работ оцениваются отдельно по 100 баллов: корректность 40, эксперимент 30, интерпретация 20, защита 10. Порог каждой — 60. Конкретные признаки выполнения и состав сдаваемых материалов указаны в методичке соответствующего занятия.</w:t>
      </w:r>
    </w:p>
    <w:p>
      <w:r>
        <w:t>Полный балл по критерию означает выполненный проверяемый результат и способность его объяснить. За частичное выполнение начисляется соответствующая часть: например, при двух равнозначных сравнениях одно выполненное не оценивается как оба. Преподаватель фиксирует, какое требование выполнено и за что сняты баллы. Наличие сохранённых чужих результатов без реализованного и объяснённого собственного задания не подтверждает корректность кода студента.</w:t>
      </w:r>
    </w:p>
    <w:p>
      <w:r>
        <w:t>Все восемь лабораторных должны быть сданы. Итоговый средний балл не заменяет сдачу каждой работы. При техническом сбое разбор готовых наблюдений может поддержать обучение; подтверждение собственного кода и запуска проводится отдельно.</w:t>
      </w:r>
    </w:p>
    <w:p>
      <w:r>
        <w:t>Пояснения к опытам пишутся в ноутбуке. ЛР8 дополнительно сдаётся с автоматически созданным журналом; отдельный текстовый отчёт не нужен.</w:t>
      </w:r>
    </w:p>
    <w:p>
      <w:pPr>
        <w:pStyle w:val="Heading1"/>
      </w:pPr>
      <w:r>
        <w:t>Организация зачёта</w:t>
      </w:r>
    </w:p>
    <w:p>
      <w:r>
        <w:t>Билет содержит два теоретических вопроса по 30 баллов и один практический случай на 40 баллов. Максимум 100, порог 60. Для «зачтено» одновременно необходимы восемь сданных лабораторных и не менее 60 баллов за устный ответ. Другие пороги внутри вопроса не вводятся.</w:t>
      </w:r>
    </w:p>
    <w:p>
      <w:r>
        <w:t>Рекомендуемая подготовка — 15–20 минут, ответ — 12–15 минут. Допускаются бумага для расчётов и обычный калькулятор; доступ к готовым ключам и генеративным помощникам при ответе не требуется. Преподаватель может задать уточняющий вопрос, чтобы проверить смысл использованного обозначения или ход вычисления. Он оценивается в пределах того же критерия и не увеличивает максимум.</w:t>
      </w:r>
    </w:p>
    <w:p>
      <w:r>
        <w:t>Два академических часа в РПД — трудоёмкость аттестации для студента. Для группы преподаватель планирует очереди или несколько сеансов; произвольное число индивидуальных ответов не обещается уложить в 90 минут.</w:t>
      </w:r>
    </w:p>
    <w:p>
      <w:pPr>
        <w:pStyle w:val="Heading1"/>
      </w:pPr>
      <w:r>
        <w:t>Рубрика одного теоретического вопроса — 30 баллов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10"/>
        <w:gridCol w:w="2409"/>
        <w:gridCol w:w="2608"/>
        <w:gridCol w:w="2409"/>
      </w:tblGrid>
      <w:tr>
        <w:trPr>
          <w:cantSplit/>
          <w:tblHeader/>
        </w:trPr>
        <w:tc>
          <w:tcPr>
            <w:tcW w:type="dxa" w:w="136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510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2409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Полный результат</w:t>
            </w:r>
          </w:p>
        </w:tc>
        <w:tc>
          <w:tcPr>
            <w:tcW w:type="dxa" w:w="2608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Частичный результат</w:t>
            </w:r>
          </w:p>
        </w:tc>
        <w:tc>
          <w:tcPr>
            <w:tcW w:type="dxa" w:w="2409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Нулевой результат</w:t>
            </w:r>
          </w:p>
        </w:tc>
      </w:tr>
      <w:tr>
        <w:trPr>
          <w:cantSplit/>
        </w:trPr>
        <w:tc>
          <w:tcPr>
            <w:tcW w:type="dxa" w:w="136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Содержание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15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Правильно определены ключевые понятия и механизм</w:t>
            </w:r>
          </w:p>
        </w:tc>
        <w:tc>
          <w:tcPr>
            <w:tcW w:type="dxa" w:w="260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8: основа верна, есть существенный пробел; 4: отдельные верные термины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Механизм не объяснён или полностью перепутан</w:t>
            </w:r>
          </w:p>
        </w:tc>
      </w:tr>
      <w:tr>
        <w:trPr>
          <w:cantSplit/>
        </w:trPr>
        <w:tc>
          <w:tcPr>
            <w:tcW w:type="dxa" w:w="136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Объяснение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Есть связный пример, формула или ход применения</w:t>
            </w:r>
          </w:p>
        </w:tc>
        <w:tc>
          <w:tcPr>
            <w:tcW w:type="dxa" w:w="260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5: пример частичен либо требует существенной подсказки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Только название без объяснения</w:t>
            </w:r>
          </w:p>
        </w:tc>
      </w:tr>
      <w:tr>
        <w:trPr>
          <w:cantSplit/>
        </w:trPr>
        <w:tc>
          <w:tcPr>
            <w:tcW w:type="dxa" w:w="136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Границы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Названо существенное условие или ограничение</w:t>
            </w:r>
          </w:p>
        </w:tc>
        <w:tc>
          <w:tcPr>
            <w:tcW w:type="dxa" w:w="260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2: ограничение названо неполно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Необоснованная универсальная гарантия или отсутствие понимания</w:t>
            </w:r>
          </w:p>
        </w:tc>
      </w:tr>
    </w:tbl>
    <w:p>
      <w:pPr>
        <w:spacing w:after="0"/>
      </w:pPr>
    </w:p>
    <w:p>
      <w:r>
        <w:t>Промежуточные баллы внутри диапазонов возможны с кратким обоснованием. Альтернативная терминология допустима, если смысл верен. Заученная дословная формулировка не требуется.</w:t>
      </w:r>
    </w:p>
    <w:p>
      <w:pPr>
        <w:pStyle w:val="Heading1"/>
      </w:pPr>
      <w:r>
        <w:t>Рубрика практического случая — 40 баллов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10"/>
        <w:gridCol w:w="2409"/>
        <w:gridCol w:w="2608"/>
        <w:gridCol w:w="2409"/>
      </w:tblGrid>
      <w:tr>
        <w:trPr>
          <w:cantSplit/>
          <w:tblHeader/>
        </w:trPr>
        <w:tc>
          <w:tcPr>
            <w:tcW w:type="dxa" w:w="136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510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2409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Полный результат</w:t>
            </w:r>
          </w:p>
        </w:tc>
        <w:tc>
          <w:tcPr>
            <w:tcW w:type="dxa" w:w="2608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Частичный результат</w:t>
            </w:r>
          </w:p>
        </w:tc>
        <w:tc>
          <w:tcPr>
            <w:tcW w:type="dxa" w:w="2409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Нулевой результат</w:t>
            </w:r>
          </w:p>
        </w:tc>
      </w:tr>
      <w:tr>
        <w:trPr>
          <w:cantSplit/>
        </w:trPr>
        <w:tc>
          <w:tcPr>
            <w:tcW w:type="dxa" w:w="136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Диагноз/постановка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15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Верно выделены данные, ошибка и оцениваемая величина</w:t>
            </w:r>
          </w:p>
        </w:tc>
        <w:tc>
          <w:tcPr>
            <w:tcW w:type="dxa" w:w="260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8: основная проблема замечена, но причины смешаны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Решается другая задача</w:t>
            </w:r>
          </w:p>
        </w:tc>
      </w:tr>
      <w:tr>
        <w:trPr>
          <w:cantSplit/>
        </w:trPr>
        <w:tc>
          <w:tcPr>
            <w:tcW w:type="dxa" w:w="136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Решение/расчёт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15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Верный ход и результат с единицами либо обоснованный способ исправления</w:t>
            </w:r>
          </w:p>
        </w:tc>
        <w:tc>
          <w:tcPr>
            <w:tcW w:type="dxa" w:w="260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8: ход верен при локальной ошибке; 4: отдельный правильный шаг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Нет применимого решения</w:t>
            </w:r>
          </w:p>
        </w:tc>
      </w:tr>
      <w:tr>
        <w:trPr>
          <w:cantSplit/>
        </w:trPr>
        <w:tc>
          <w:tcPr>
            <w:tcW w:type="dxa" w:w="136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Проверка и вывод</w:t>
            </w:r>
          </w:p>
        </w:tc>
        <w:tc>
          <w:tcPr>
            <w:tcW w:type="dxa" w:w="510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Предложена проверка, вывод ограничен условиями</w:t>
            </w:r>
          </w:p>
        </w:tc>
        <w:tc>
          <w:tcPr>
            <w:tcW w:type="dxa" w:w="2608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5: проверка частична или не хватает ограничения</w:t>
            </w:r>
          </w:p>
        </w:tc>
        <w:tc>
          <w:tcPr>
            <w:tcW w:type="dxa" w:w="2409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Результат принят без проверки либо заявлена ложная гарантия</w:t>
            </w:r>
          </w:p>
        </w:tc>
      </w:tr>
    </w:tbl>
    <w:p>
      <w:pPr>
        <w:spacing w:after="0"/>
      </w:pPr>
    </w:p>
    <w:p>
      <w:r>
        <w:t>В вычислительных случаях допустимо округление до 3–4 значащих цифр. Если студент правильно задаёт формулу и ошибается только в арифметике, это учитывается в расчётной части; правильный диагноз не обнуляется автоматически. В диагностических случаях вместо чисел требуется причинно обоснованный план проверки.</w:t>
      </w:r>
    </w:p>
    <w:p>
      <w:pPr>
        <w:pStyle w:val="Heading1"/>
      </w:pPr>
      <w:r>
        <w:t>Протокол преподавателя</w:t>
      </w:r>
    </w:p>
    <w:p>
      <w:r>
        <w:t>Для каждого студента записываются номер билета, баллы Т1/Т2/случай, сумма, статус восьми лабораторных и краткое основание спорных оценок. Ключи содержат существенные элементы ответа, а не единственный допустимый текст. Пример: Т1=24, Т2=22, случай=29, сумма 75; при всех сданных работах — «зачтено».</w:t>
      </w:r>
    </w:p>
    <w:p>
      <w:r>
        <w:t>Сроки, допуск, пересдача и специальные условия оформляются по правилам образовательной организации. Данный фонд задаёт содержание проверки и рубрику, а не административный порядок конкретного вуза.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