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Подготовка текстовых данных</w:t>
      </w:r>
    </w:p>
    <w:p>
      <w:r>
        <w:t>В этой работе вы проверите обращения в электронную приёмную: найдёте пустые записи, повторы и ошибки разметки, напишете нормализацию и сравните способы выделять токены. Затем разберётесь, почему привычная «очистка» иногда стирает важную часть сообщения.</w:t>
      </w:r>
    </w:p>
    <w:p>
      <w:pPr>
        <w:pStyle w:val="Heading1"/>
      </w:pPr>
      <w:r>
        <w:t>Материалы</w:t>
      </w:r>
    </w:p>
    <w:p>
      <w:r>
        <w:t xml:space="preserve">Откройте </w:t>
      </w:r>
      <w:r>
        <w:rPr>
          <w:rFonts w:ascii="Courier New" w:hAnsi="Courier New"/>
          <w:sz w:val="21"/>
        </w:rPr>
        <w:t>lab.ipynb</w:t>
      </w:r>
      <w:r>
        <w:t xml:space="preserve">. Он использует файлы из папки </w:t>
      </w:r>
      <w:r>
        <w:rPr>
          <w:rFonts w:ascii="Courier New" w:hAnsi="Courier New"/>
          <w:sz w:val="21"/>
        </w:rPr>
        <w:t>data</w:t>
      </w:r>
      <w:r>
        <w:t xml:space="preserve">: основной корпус </w:t>
      </w:r>
      <w:r>
        <w:rPr>
          <w:rFonts w:ascii="Courier New" w:hAnsi="Courier New"/>
          <w:sz w:val="21"/>
        </w:rPr>
        <w:t>requests.csv</w:t>
      </w:r>
      <w:r>
        <w:t xml:space="preserve">, набор для аудита </w:t>
      </w:r>
      <w:r>
        <w:rPr>
          <w:rFonts w:ascii="Courier New" w:hAnsi="Courier New"/>
          <w:sz w:val="21"/>
        </w:rPr>
        <w:t>audit_requests.csv</w:t>
      </w:r>
      <w:r>
        <w:t xml:space="preserve"> и описание меток </w:t>
      </w:r>
      <w:r>
        <w:rPr>
          <w:rFonts w:ascii="Courier New" w:hAnsi="Courier New"/>
          <w:sz w:val="21"/>
        </w:rPr>
        <w:t>manifest.json</w:t>
      </w:r>
      <w:r>
        <w:t>. Установка среды описана в общей инструкции курса.</w:t>
      </w:r>
    </w:p>
    <w:p>
      <w:r>
        <w:t xml:space="preserve">В корпусе одна ситуация может быть записана несколькими способами. Поле </w:t>
      </w:r>
      <w:r>
        <w:rPr>
          <w:rFonts w:ascii="Courier New" w:hAnsi="Courier New"/>
          <w:sz w:val="21"/>
        </w:rPr>
        <w:t>group_id</w:t>
      </w:r>
      <w:r>
        <w:t xml:space="preserve"> связывает такие варианты. Остальные поля — идентификатор записи, текст, категория и часть выборки. Категории соответствуют шести темам обращений: ИТ, библиотека, общежитие, учебный процесс, поступление и стипендия.</w:t>
      </w:r>
    </w:p>
    <w:p>
      <w:pPr>
        <w:pStyle w:val="Heading1"/>
      </w:pPr>
      <w:r>
        <w:t>Работа с ноутбуком</w:t>
      </w:r>
    </w:p>
    <w:p>
      <w:r>
        <w:t>Сначала прочитайте несколько строк и отметьте то, что кажется подозрительным. Затем переходите к заданиям: подсчёту записей, нормализации, поиску повторов, токенизации и разбору потери смысла. В каждом задании есть место для кода и небольшая проверка результата.</w:t>
      </w:r>
    </w:p>
    <w:p>
      <w:r>
        <w:t>Нормализованный текст записывайте в новый столбец. Исходное обращение понадобится, чтобы понять, откуда появилась ошибка. Найденные конфликты меток разберите отдельно: одинаковые тексты с разными категориями нельзя исправить, просто оставив первую строку.</w:t>
      </w:r>
    </w:p>
    <w:p>
      <w:pPr>
        <w:pStyle w:val="Heading1"/>
      </w:pPr>
      <w:r>
        <w:t>Что сдавать</w:t>
      </w:r>
    </w:p>
    <w:p>
      <w:r>
        <w:t>Сдайте выполненный ноутбук с выводами в последнем разделе. В нём должны быть видны найденные записи, результаты функций и ваши объяснения. Добавьте один собственный пример для проверки нормализации. Перед сдачей перезапустите ядро и выполните все ячейки по порядку. Отдельный отчёт, повторяющий содержимое ноутбука, не нужен.</w:t>
      </w:r>
    </w:p>
    <w:p>
      <w:pPr>
        <w:pStyle w:val="Heading1"/>
      </w:pPr>
      <w:r>
        <w:t>Как оценивается работа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3231"/>
        <w:gridCol w:w="4365"/>
      </w:tblGrid>
      <w:tr>
        <w:trPr>
          <w:cantSplit/>
          <w:tblHeader/>
        </w:trPr>
        <w:tc>
          <w:tcPr>
            <w:tcW w:type="dxa" w:w="170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Критерий</w:t>
            </w:r>
          </w:p>
        </w:tc>
        <w:tc>
          <w:tcPr>
            <w:tcW w:type="dxa" w:w="3231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Баллы</w:t>
            </w:r>
          </w:p>
        </w:tc>
        <w:tc>
          <w:tcPr>
            <w:tcW w:type="dxa" w:w="4365"/>
            <w:tcBorders>
              <w:bottom w:val="single" w:sz="6" w:color="A9AEB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/>
                <w:sz w:val="21"/>
              </w:rPr>
              <w:t>Что учитывается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Код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40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Проверка данных, нормализация и поиск повторов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Разбор примеров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30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Сравнение токенизаторов и преобразований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Выводы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20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Объяснение ошибок и потери смысла</w:t>
            </w:r>
          </w:p>
        </w:tc>
      </w:tr>
      <w:tr>
        <w:trPr>
          <w:cantSplit/>
        </w:trPr>
        <w:tc>
          <w:tcPr>
            <w:tcW w:type="dxa" w:w="170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Ответы на защите</w:t>
            </w:r>
          </w:p>
        </w:tc>
        <w:tc>
          <w:tcPr>
            <w:tcW w:type="dxa" w:w="3231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10</w:t>
            </w:r>
          </w:p>
        </w:tc>
        <w:tc>
          <w:tcPr>
            <w:tcW w:type="dxa" w:w="4365"/>
            <w:tcBorders>
              <w:bottom w:val="single" w:sz="3" w:color="E0E3E8"/>
            </w:tcBorders>
          </w:tcPr>
          <w:p>
            <w:pPr>
              <w:spacing w:before="100" w:after="100"/>
            </w:pPr>
            <w:r>
              <w:rPr>
                <w:rFonts w:ascii="Arial" w:hAnsi="Arial"/>
                <w:b w:val="0"/>
                <w:sz w:val="21"/>
              </w:rPr>
              <w:t>Разбор собственного и нового примера</w:t>
            </w:r>
          </w:p>
        </w:tc>
      </w:tr>
    </w:tbl>
    <w:p>
      <w:pPr>
        <w:spacing w:after="0"/>
      </w:pPr>
    </w:p>
    <w:p>
      <w:r>
        <w:t>Для сдачи нужно набрать 60 из 100 баллов. На защите будьте готовы объяснить, чем строка отличается от исходного обращения, почему NFC не заменяет похожие буквы разных алфавитов и что потерялось после удаления отрицания или номера ошибки.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19" w:right="1304" w:bottom="1191" w:left="130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717782"/>
        <w:sz w:val="16"/>
      </w:rPr>
      <w:t>Системы искусственного интеллекта · NLP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81" w:lineRule="auto" w:after="140"/>
    </w:pPr>
    <w:rPr>
      <w:rFonts w:ascii="Cambria" w:hAnsi="Cambria"/>
      <w:color w:val="1B1D22"/>
      <w:sz w:val="24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mbria" w:hAnsi="Cambria"/>
      <w:b/>
      <w:bCs/>
      <w:color w:val="171A2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71A2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Cambria" w:hAnsi="Cambria"/>
      <w:b w:val="0"/>
      <w:color w:val="171A20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