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План лекции «Как компьютер работает с текстом»</w:t>
      </w:r>
    </w:p>
    <w:p>
      <w:r>
        <w:t>Занятие рассчитано на одну пару. Время ниже помогает распределить объяснение и совместный разбор; в тексте лекции и студенческих заданиях поминутных указаний нет.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3231"/>
        <w:gridCol w:w="4365"/>
      </w:tblGrid>
      <w:tr>
        <w:trPr>
          <w:cantSplit/>
          <w:tblHeader/>
        </w:trPr>
        <w:tc>
          <w:tcPr>
            <w:tcW w:type="dxa" w:w="1701"/>
            <w:tcBorders>
              <w:bottom w:val="single" w:sz="6" w:color="A9AEB8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/>
                <w:sz w:val="21"/>
              </w:rPr>
              <w:t>Часть</w:t>
            </w:r>
          </w:p>
        </w:tc>
        <w:tc>
          <w:tcPr>
            <w:tcW w:type="dxa" w:w="3231"/>
            <w:tcBorders>
              <w:bottom w:val="single" w:sz="6" w:color="A9AEB8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/>
                <w:sz w:val="21"/>
              </w:rPr>
              <w:t>Содержание</w:t>
            </w:r>
          </w:p>
        </w:tc>
        <w:tc>
          <w:tcPr>
            <w:tcW w:type="dxa" w:w="4365"/>
            <w:tcBorders>
              <w:bottom w:val="single" w:sz="6" w:color="A9AEB8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/>
                <w:sz w:val="21"/>
              </w:rPr>
              <w:t>Работа с аудиторией</w:t>
            </w:r>
          </w:p>
        </w:tc>
      </w:tr>
      <w:tr>
        <w:trPr>
          <w:cantSplit/>
        </w:trPr>
        <w:tc>
          <w:tcPr>
            <w:tcW w:type="dxa" w:w="1701"/>
            <w:tcBorders>
              <w:bottom w:val="single" w:sz="3" w:color="E0E3E8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 w:val="0"/>
                <w:sz w:val="21"/>
              </w:rPr>
              <w:t>Начало пары</w:t>
            </w:r>
          </w:p>
        </w:tc>
        <w:tc>
          <w:tcPr>
            <w:tcW w:type="dxa" w:w="3231"/>
            <w:tcBorders>
              <w:bottom w:val="single" w:sz="3" w:color="E0E3E8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 w:val="0"/>
                <w:sz w:val="21"/>
              </w:rPr>
              <w:t>Одно обращение и разные задачи NLP</w:t>
            </w:r>
          </w:p>
        </w:tc>
        <w:tc>
          <w:tcPr>
            <w:tcW w:type="dxa" w:w="4365"/>
            <w:tcBorders>
              <w:bottom w:val="single" w:sz="3" w:color="E0E3E8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 w:val="0"/>
                <w:sz w:val="21"/>
              </w:rPr>
              <w:t>Сформулировать вход и выход для маршрутизации, поиска и ответа</w:t>
            </w:r>
          </w:p>
        </w:tc>
      </w:tr>
      <w:tr>
        <w:trPr>
          <w:cantSplit/>
        </w:trPr>
        <w:tc>
          <w:tcPr>
            <w:tcW w:type="dxa" w:w="1701"/>
            <w:tcBorders>
              <w:bottom w:val="single" w:sz="3" w:color="E0E3E8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 w:val="0"/>
                <w:sz w:val="21"/>
              </w:rPr>
              <w:t>Первая половина</w:t>
            </w:r>
          </w:p>
        </w:tc>
        <w:tc>
          <w:tcPr>
            <w:tcW w:type="dxa" w:w="3231"/>
            <w:tcBorders>
              <w:bottom w:val="single" w:sz="3" w:color="E0E3E8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 w:val="0"/>
                <w:sz w:val="21"/>
              </w:rPr>
              <w:t>Неоднозначность, корпус и разметка</w:t>
            </w:r>
          </w:p>
        </w:tc>
        <w:tc>
          <w:tcPr>
            <w:tcW w:type="dxa" w:w="4365"/>
            <w:tcBorders>
              <w:bottom w:val="single" w:sz="3" w:color="E0E3E8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 w:val="0"/>
                <w:sz w:val="21"/>
              </w:rPr>
              <w:t>Разобрать роли участников, группы перефразировок и спорные категории</w:t>
            </w:r>
          </w:p>
        </w:tc>
      </w:tr>
      <w:tr>
        <w:trPr>
          <w:cantSplit/>
        </w:trPr>
        <w:tc>
          <w:tcPr>
            <w:tcW w:type="dxa" w:w="1701"/>
            <w:tcBorders>
              <w:bottom w:val="single" w:sz="3" w:color="E0E3E8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 w:val="0"/>
                <w:sz w:val="21"/>
              </w:rPr>
              <w:t>Вторая половина</w:t>
            </w:r>
          </w:p>
        </w:tc>
        <w:tc>
          <w:tcPr>
            <w:tcW w:type="dxa" w:w="3231"/>
            <w:tcBorders>
              <w:bottom w:val="single" w:sz="3" w:color="E0E3E8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 w:val="0"/>
                <w:sz w:val="21"/>
              </w:rPr>
              <w:t>Токенизация, нормализация и морфология</w:t>
            </w:r>
          </w:p>
        </w:tc>
        <w:tc>
          <w:tcPr>
            <w:tcW w:type="dxa" w:w="4365"/>
            <w:tcBorders>
              <w:bottom w:val="single" w:sz="3" w:color="E0E3E8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 w:val="0"/>
                <w:sz w:val="21"/>
              </w:rPr>
              <w:t>Сравнить разбиения строки; найти потерю отрицания, номера и падежа</w:t>
            </w:r>
          </w:p>
        </w:tc>
      </w:tr>
      <w:tr>
        <w:trPr>
          <w:cantSplit/>
        </w:trPr>
        <w:tc>
          <w:tcPr>
            <w:tcW w:type="dxa" w:w="1701"/>
            <w:tcBorders>
              <w:bottom w:val="single" w:sz="3" w:color="E0E3E8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 w:val="0"/>
                <w:sz w:val="21"/>
              </w:rPr>
              <w:t>Завершение</w:t>
            </w:r>
          </w:p>
        </w:tc>
        <w:tc>
          <w:tcPr>
            <w:tcW w:type="dxa" w:w="3231"/>
            <w:tcBorders>
              <w:bottom w:val="single" w:sz="3" w:color="E0E3E8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 w:val="0"/>
                <w:sz w:val="21"/>
              </w:rPr>
              <w:t>Подготовка данных и постановка лабораторной</w:t>
            </w:r>
          </w:p>
        </w:tc>
        <w:tc>
          <w:tcPr>
            <w:tcW w:type="dxa" w:w="4365"/>
            <w:tcBorders>
              <w:bottom w:val="single" w:sz="3" w:color="E0E3E8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 w:val="0"/>
                <w:sz w:val="21"/>
              </w:rPr>
              <w:t>Предсказать обработку новой строки и объяснить последовательность шагов</w:t>
            </w:r>
          </w:p>
        </w:tc>
      </w:tr>
    </w:tbl>
    <w:p>
      <w:pPr>
        <w:spacing w:after="0"/>
      </w:pPr>
    </w:p>
    <w:p>
      <w:r>
        <w:t>Ориентир для пары 90 минут: 15 минут на постановку задач, 25 на корпус и разметку, 35 на примеры обработки, 15 на сборку последовательности и вопросы. Совместные расчёты и обсуждения входят в эти интервалы.</w:t>
      </w:r>
    </w:p>
    <w:p>
      <w:r>
        <w:t>Нужны примеры обращений, фрагмент таблицы аудита и возможность показать несколько коротких выражений Python. Полный запуск лабораторной проводится на отдельном занятии.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19" w:right="1304" w:bottom="1191" w:left="1304" w:header="539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717782"/>
        <w:sz w:val="16"/>
      </w:rPr>
      <w:t>Системы искусственного интеллекта · NLP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81" w:lineRule="auto" w:after="140"/>
    </w:pPr>
    <w:rPr>
      <w:rFonts w:ascii="Cambria" w:hAnsi="Cambria"/>
      <w:color w:val="1B1D22"/>
      <w:sz w:val="24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80"/>
      <w:outlineLvl w:val="0"/>
    </w:pPr>
    <w:rPr>
      <w:rFonts w:asciiTheme="majorHAnsi" w:eastAsiaTheme="majorEastAsia" w:hAnsiTheme="majorHAnsi" w:cstheme="majorBidi" w:ascii="Cambria" w:hAnsi="Cambria"/>
      <w:b/>
      <w:bCs/>
      <w:color w:val="171A20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80"/>
      <w:outlineLvl w:val="1"/>
    </w:pPr>
    <w:rPr>
      <w:rFonts w:asciiTheme="majorHAnsi" w:eastAsiaTheme="majorEastAsia" w:hAnsiTheme="majorHAnsi" w:cstheme="majorBidi" w:ascii="Arial" w:hAnsi="Arial"/>
      <w:b/>
      <w:bCs/>
      <w:color w:val="171A2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80" w:line="240" w:lineRule="auto" w:before="0"/>
      <w:contextualSpacing/>
    </w:pPr>
    <w:rPr>
      <w:rFonts w:asciiTheme="majorHAnsi" w:eastAsiaTheme="majorEastAsia" w:hAnsiTheme="majorHAnsi" w:cstheme="majorBidi" w:ascii="Cambria" w:hAnsi="Cambria"/>
      <w:b w:val="0"/>
      <w:color w:val="171A20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