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лекции «Классификация текста»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231"/>
        <w:gridCol w:w="4365"/>
      </w:tblGrid>
      <w:tr>
        <w:trPr>
          <w:cantSplit/>
          <w:tblHeader/>
        </w:trPr>
        <w:tc>
          <w:tcPr>
            <w:tcW w:type="dxa" w:w="170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Часть</w:t>
            </w:r>
          </w:p>
        </w:tc>
        <w:tc>
          <w:tcPr>
            <w:tcW w:type="dxa" w:w="323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Содержание</w:t>
            </w:r>
          </w:p>
        </w:tc>
        <w:tc>
          <w:tcPr>
            <w:tcW w:type="dxa" w:w="4365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Совместный разбор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Постановка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Класс, объект, обучение и применение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Определить результат маршрутизации одного обращения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Представление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Счётчики, TF-IDF, L2-нормировка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Вычислить веса трёх коротких документов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Модель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Линейная оценка и baseline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Сравнить оценки двух классов и постоянный ответ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Проверка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Разбиение, confusion matrix, macro-F1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Посчитать пример 90/10 и заметить провал меньшего класса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Опыт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Слова/символы, Pipeline, ошибки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Предложить объяснение конкретной ошибки и следующую проверку</w:t>
            </w:r>
          </w:p>
        </w:tc>
      </w:tr>
    </w:tbl>
    <w:p>
      <w:pPr>
        <w:spacing w:after="0"/>
      </w:pPr>
    </w:p>
    <w:p>
      <w:r>
        <w:t>Ориентир для пары 90 минут: 15 минут на постановку и разбиение, 25 на представление, 15 на модель, 20 на метрики и 15 на опыт и обсуждение ошибок. Совместные вычисления входят в эти интервалы.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