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Поиск по документам</w:t>
      </w:r>
    </w:p>
    <w:p>
      <w:r>
        <w:t>Вы сравните два представления одной базы: TF-IDF и TF-IDF с сокращением размерности через SVD. Работа начинается с ручного косинуса, затем переходит к индексу и заканчивается чтением конкретных найденных документов.</w:t>
      </w:r>
    </w:p>
    <w:p>
      <w:pPr>
        <w:pStyle w:val="Heading1"/>
      </w:pPr>
      <w:r>
        <w:t>Ход работы</w:t>
      </w:r>
    </w:p>
    <w:p>
      <w:r>
        <w:t xml:space="preserve">Рассчитайте сходство двумерных векторов и проверьте влияние масштаба. Постройте обе матрицы документов, сохранив соответствие строк и </w:t>
      </w:r>
      <w:r>
        <w:rPr>
          <w:rFonts w:ascii="Courier New" w:hAnsi="Courier New"/>
          <w:sz w:val="21"/>
        </w:rPr>
        <w:t>doc_id</w:t>
      </w:r>
      <w:r>
        <w:t>. Преобразуйте запросы теми же обученными преобразователями, получите top-3 и оцените выдачу по эталонным документам.</w:t>
      </w:r>
    </w:p>
    <w:p>
      <w:r>
        <w:t>При разборе результатов смотрите и на число, и на источник. Вопрос о сумме стипендии может найти документ о назначении стипендии; нужно прочитать его, чтобы понять, есть ли там сумма. Вопросы без ответа рассматриваются отдельно от Recall и MRR.</w:t>
      </w:r>
    </w:p>
    <w:p>
      <w:pPr>
        <w:pStyle w:val="Heading1"/>
      </w:pPr>
      <w:r>
        <w:t>Что сдавать</w:t>
      </w:r>
    </w:p>
    <w:p>
      <w:r>
        <w:t>Сдайте выполненный ноутбук с двумя разборами различающихся выдач и одним вопросом без ответа. На защите объясните совместимость координат запроса и документов и изменение метрик при перестановке эталона внутри top-3.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Косинус, индексы, ранжирование и нулевой запрос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Два метода, отложенные вопросы и корректные знаменатели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Связь рангов, метрик и содержания документов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Разбор нового запроса или изменения ранга</w:t>
            </w:r>
          </w:p>
        </w:tc>
      </w:tr>
    </w:tbl>
    <w:p>
      <w:pPr>
        <w:spacing w:after="0"/>
      </w:pPr>
    </w:p>
    <w:p>
      <w:r>
        <w:t>Порог сдачи — 60 из 100. Пояснения пишутся в ноутбуке.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