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Связь презентации и лекции</w:t>
      </w:r>
    </w:p>
    <w:p>
      <w:r>
        <w:t>Эмбеддинги и поиск</w:t>
      </w:r>
    </w:p>
    <w:p>
      <w:pPr>
        <w:pStyle w:val="Heading1"/>
      </w:pPr>
      <w:r>
        <w:t>Слайд 01. Эмбеддинги и поиск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L03-S01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L03-01</w:t>
      </w:r>
      <w:r>
        <w:t>.</w:t>
      </w:r>
    </w:p>
    <w:p>
      <w:r>
        <w:t xml:space="preserve">Классификатор может определить, что вопрос относится к библиотеке. Но студенту нужна конкретная инструкция: например, как продлить книгу и на какой срок. </w:t>
      </w:r>
    </w:p>
    <w:p>
      <w:pPr>
        <w:pStyle w:val="Heading1"/>
      </w:pPr>
      <w:r>
        <w:t>Слайд 02. Пользователю нужен документ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L03-S01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L03-02</w:t>
      </w:r>
      <w:r>
        <w:t>.</w:t>
      </w:r>
    </w:p>
    <w:p>
      <w:r>
        <w:t>Теперь результатом системы станет список документов, которые стоит прочитать для ответа.</w:t>
      </w:r>
    </w:p>
    <w:p>
      <w:pPr>
        <w:pStyle w:val="Heading1"/>
      </w:pPr>
      <w:r>
        <w:t>Слайд 03. Смысл распределён по вектору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L03-S02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L03-03</w:t>
      </w:r>
      <w:r>
        <w:t>.</w:t>
      </w:r>
    </w:p>
    <w:p>
      <w:r>
        <w:t>После TF-IDF каждый документ представлен вектором одной и той же размерности. Его координаты связаны со словарными признаками. Если слова в документе нет, соответствующий вес равен нулю. У короткого сообщения ненулевых координат обычно намного меньше, чем размер всего словаря.</w:t>
      </w:r>
    </w:p>
    <w:p>
      <w:pPr>
        <w:pStyle w:val="Heading1"/>
      </w:pPr>
      <w:r>
        <w:t>Слайд 04. Общее пространство векторов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L03-S02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L03-04</w:t>
      </w:r>
      <w:r>
        <w:t>.</w:t>
      </w:r>
    </w:p>
    <w:p>
      <w:r>
        <w:t>Для поиска требуется общее пространство. Если документы закодированы одним преобразованием, а запросы — другим несогласованным, одинаковое число координат их не спасёт. Первая координата одного вектора может иметь совсем другой смысл, чем первая координата другого.</w:t>
      </w:r>
    </w:p>
    <w:p>
      <w:pPr>
        <w:pStyle w:val="Heading1"/>
      </w:pPr>
      <w:r>
        <w:t>Слайд 05. Косинус сравнивает направления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L03-S03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L03-05</w:t>
      </w:r>
      <w:r>
        <w:t>.</w:t>
      </w:r>
    </w:p>
    <w:p>
      <w:r>
        <w:t>Один из распространённых способов сравнить векторы — косинусная близость:</w:t>
      </w:r>
    </w:p>
    <w:p>
      <w:pPr>
        <w:pStyle w:val="Heading1"/>
      </w:pPr>
      <w:r>
        <w:t>Слайд 06. Один косинус вручную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L03-S03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L03-06</w:t>
      </w:r>
      <w:r>
        <w:t>.</w:t>
      </w:r>
    </w:p>
    <w:p>
      <w:r>
        <w:t>Скалярное произведение u и v равно 1, длина u равна 1, длина v — √2. Поэтому cos(u,v)=1/√2≈0,7071. У u и w скалярное произведение нулевое, значит, cos(u,w)=0.</w:t>
      </w:r>
    </w:p>
    <w:p>
      <w:pPr>
        <w:pStyle w:val="Heading1"/>
      </w:pPr>
      <w:r>
        <w:t>Слайд 07. Масштаб не меняет косинус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L03-S03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L03-07</w:t>
      </w:r>
      <w:r>
        <w:t>.</w:t>
      </w:r>
    </w:p>
    <w:p>
      <w:r>
        <w:t>Теперь заменим v на (10;10). Длина увеличилась в десять раз, скалярное произведение с u — тоже. Их отношение осталось прежним. Поэтому положительное масштабирование вектора не меняет косинус. Вектор стал длиннее, но сохранил направление.</w:t>
      </w:r>
    </w:p>
    <w:p>
      <w:pPr>
        <w:pStyle w:val="Heading1"/>
      </w:pPr>
      <w:r>
        <w:t>Слайд 08. Нулевой запрос требует решения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L03-S03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L03-08</w:t>
      </w:r>
      <w:r>
        <w:t>.</w:t>
      </w:r>
    </w:p>
    <w:p>
      <w:r>
        <w:t>Нулевой вектор — отдельный случай: его длина равна нулю, и формула не определена. Для TF-IDF такой запрос может получиться, если ни один его фрагмент не встретился в словаре. Вместо случайного ранжирования равных нулевых оценок наша функция вернёт пустую выдачу.</w:t>
      </w:r>
    </w:p>
    <w:p>
      <w:pPr>
        <w:pStyle w:val="Heading1"/>
      </w:pPr>
      <w:r>
        <w:t>Слайд 09. SVD выбирает направления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L03-S04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L03-09</w:t>
      </w:r>
      <w:r>
        <w:t>.</w:t>
      </w:r>
    </w:p>
    <w:p>
      <w:r>
        <w:t>Попробуем перейти от разреженных векторов с большим числом словарных признаков к плотным векторам с небольшим числом координат. Truncated SVD выбирает несколько направлений, которые описывают существенную часть структуры исходной матрицы. Документы проецируются на эти направления.</w:t>
      </w:r>
    </w:p>
    <w:p>
      <w:pPr>
        <w:pStyle w:val="Heading1"/>
      </w:pPr>
      <w:r>
        <w:t>Слайд 10. Проекция сохраняет выбранную ось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L03-S04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L03-10</w:t>
      </w:r>
      <w:r>
        <w:t>.</w:t>
      </w:r>
    </w:p>
    <w:p>
      <w:r>
        <w:t>Посмотрим на маленькую матрицу из трёх строк: X=((2;0), (0;1), (2;0)). Первая координата даёт сумму квадратов 2²+0²+2²=8, вторая — 0²+1²+0²=1; их скалярное произведение равно нулю. При сокращении до одного направления SVD оставляет первую ось, V₁=(1;0), с точностью до знака. Проекция даёт три числа: 2, 0 и 2. Например, (0;1)·(1;0)=0. Восстановить вторую координату из этих чисел уже нельзя: второй документ стал нулевым. Здесь знаки и направления особенно простые; в общем случае направление сочетает несколько исходных признаков.</w:t>
      </w:r>
    </w:p>
    <w:p>
      <w:pPr>
        <w:pStyle w:val="Heading1"/>
      </w:pPr>
      <w:r>
        <w:t>Слайд 11. Компактность меняет информацию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L03-S04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L03-11</w:t>
      </w:r>
      <w:r>
        <w:t>.</w:t>
      </w:r>
    </w:p>
    <w:p>
      <w:r>
        <w:t>Если исходная матрица X имеет размер «документы × признаки», после сокращения до k направлений получим «документы × k». В лабораторной матрица TF-IDF имеет размер 12×670: двенадцать документов и 670 признаков. После SVD с шестью направлениями получаем матрицу 12×6. Запрос должен пройти через тот же обученный преобразователь SVD, иначе его координаты не будут согласованы с документами.</w:t>
      </w:r>
    </w:p>
    <w:p>
      <w:pPr>
        <w:pStyle w:val="Heading1"/>
      </w:pPr>
      <w:r>
        <w:t>Слайд 12. Окно создаёт обучающие пары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L03-S05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L03-12</w:t>
      </w:r>
      <w:r>
        <w:t>.</w:t>
      </w:r>
    </w:p>
    <w:p>
      <w:r>
        <w:t>Другая идея — учить представления по окружениям слов. Слова, употребляющиеся в похожих контекстах, получают связанные обучающие сигналы. Так можно получить полезные векторы без разметки каждого слова по тематической категории.</w:t>
      </w:r>
    </w:p>
    <w:p>
      <w:pPr>
        <w:pStyle w:val="Heading1"/>
      </w:pPr>
      <w:r>
        <w:t>Слайд 13. Skip-gram и CBOW меняют задачу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L03-S05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L03-13</w:t>
      </w:r>
      <w:r>
        <w:t>.</w:t>
      </w:r>
    </w:p>
    <w:p>
      <w:r>
        <w:t>В Word2Vec есть также вариант CBOW: по окружению предсказывается центральное слово. Эти задачи устроены иначе, чем классификация обращений. Обучающий ответ создаётся из самого текста, из положения слов в нём.</w:t>
      </w:r>
    </w:p>
    <w:p>
      <w:pPr>
        <w:pStyle w:val="Heading1"/>
      </w:pPr>
      <w:r>
        <w:t>Слайд 14. Учимся различать пары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L03-S05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L03-14</w:t>
      </w:r>
      <w:r>
        <w:t>.</w:t>
      </w:r>
    </w:p>
    <w:p>
      <w:r>
        <w:t>Для большого словаря сравнивать каждую пару со всеми возможными словами дорого. В обучении с negative sampling настоящая пара противопоставляется выбранным отрицательным примерам. Мы не будем реализовывать этот алгоритм в обязательной работе, но важно понимать, откуда берётся сигнал для векторов: он связан с наблюдаемыми окружениями.</w:t>
      </w:r>
    </w:p>
    <w:p>
      <w:pPr>
        <w:pStyle w:val="Heading1"/>
      </w:pPr>
      <w:r>
        <w:t>Слайд 15. Подслова помогают новой форме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L03-S06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L03-15</w:t>
      </w:r>
      <w:r>
        <w:t>.</w:t>
      </w:r>
    </w:p>
    <w:p>
      <w:r>
        <w:t>Статическому словарю трудно обработать слово, которого в нём нет. Можно заменить его общим UNK-вектором, но тогда разные неизвестные слова становятся неразличимыми. Для русского языка это особенно заметно из-за множества словоформ.</w:t>
      </w:r>
    </w:p>
    <w:p>
      <w:pPr>
        <w:pStyle w:val="Heading1"/>
      </w:pPr>
      <w:r>
        <w:t>Слайд 16. Контекст меняет вектор позиции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L03-S07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L03-16</w:t>
      </w:r>
      <w:r>
        <w:t>.</w:t>
      </w:r>
    </w:p>
    <w:p>
      <w:r>
        <w:t>Контекстная модель получает не одно слово, а последовательность. Представление «ключа» в «ключе от комнаты» может отличаться от его представления в «ключе доступа». Окружение участвует непосредственно в вычислении вектора для данного употребления.</w:t>
      </w:r>
    </w:p>
    <w:p>
      <w:pPr>
        <w:pStyle w:val="Heading1"/>
      </w:pPr>
      <w:r>
        <w:t>Слайд 17. От текста к вектору документа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L03-S07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L03-17</w:t>
      </w:r>
      <w:r>
        <w:t>.</w:t>
      </w:r>
    </w:p>
    <w:p>
      <w:r>
        <w:t>Это меняет и единицу, которую мы сравниваем. Статический вектор относится к слову в словаре. Контекстный — к позиции в конкретном входе. А для поиска по документам нужен ещё способ получить один вектор из последовательности таких представлений.</w:t>
      </w:r>
    </w:p>
    <w:p>
      <w:pPr>
        <w:pStyle w:val="Heading1"/>
      </w:pPr>
      <w:r>
        <w:t>Слайд 18. Запрос проходит тот же путь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L03-S08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L03-18</w:t>
      </w:r>
      <w:r>
        <w:t>.</w:t>
      </w:r>
    </w:p>
    <w:p>
      <w:r>
        <w:t>Соберём поиск по шагам. Сначала берём известные документы, соединяем заголовок и текст, обучаем TF-IDF и сохраняем полученную матрицу. Для второго варианта обучаем SVD на этой матрице и нормируем строки.</w:t>
      </w:r>
    </w:p>
    <w:p>
      <w:pPr>
        <w:pStyle w:val="Heading1"/>
      </w:pPr>
      <w:r>
        <w:t>Слайд 19. Ранг меняет вклад в метрику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L03-S09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L03-19</w:t>
      </w:r>
      <w:r>
        <w:t>.</w:t>
      </w:r>
    </w:p>
    <w:p>
      <w:r>
        <w:t>Предположим, у каждого ответимого вопроса есть один размеченный релевантный документ. Recall@k показывает долю вопросов, для которых этот документ оказался среди первых k результатов. Для k=1 проверяется только верхняя позиция, для k=3 — первые три.</w:t>
      </w:r>
    </w:p>
    <w:p>
      <w:pPr>
        <w:pStyle w:val="Heading1"/>
      </w:pPr>
      <w:r>
        <w:t>Слайд 20. Попадание и ранг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L03-S09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L03-20</w:t>
      </w:r>
      <w:r>
        <w:t>.</w:t>
      </w:r>
    </w:p>
    <w:p>
      <w:r>
        <w:t xml:space="preserve">Тогда Recall@1=1/4=0,25; Recall@3=3/4=0,75. MRR@3 равна </w:t>
      </w:r>
      <w:r>
        <w:rPr>
          <w:rFonts w:ascii="Courier New" w:hAnsi="Courier New"/>
          <w:sz w:val="21"/>
        </w:rPr>
        <w:t>(1 + 1/3 + 0 + 1/2)/4 ≈ 0,4583</w:t>
      </w:r>
      <w:r>
        <w:t>.</w:t>
      </w:r>
    </w:p>
    <w:p>
      <w:pPr>
        <w:pStyle w:val="Heading1"/>
      </w:pPr>
      <w:r>
        <w:t>Слайд 21. Место при нулевой оценке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L03-S10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L03-21</w:t>
      </w:r>
      <w:r>
        <w:t>.</w:t>
      </w:r>
    </w:p>
    <w:p>
      <w:r>
        <w:t>Запрос Q04 «Какие сведения нужны при технической ошибке?» нашёл документ D02 третьим в TF-IDF и первым после SVD в валидационном разборе. Откройте выдачу и сам документ: нужные сведения там действительно перечислены. Так можно понять, что означает изменение ранга для ответа пользователю.</w:t>
      </w:r>
    </w:p>
    <w:p>
      <w:pPr>
        <w:pStyle w:val="Heading1"/>
      </w:pPr>
      <w:r>
        <w:t>Слайд 22. Разница — одно попадание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L03-S10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L03-22</w:t>
      </w:r>
      <w:r>
        <w:t>.</w:t>
      </w:r>
    </w:p>
    <w:p>
      <w:r>
        <w:t>В лабораторной мы сравним TF-IDF и TF-IDF→SVD(6). На тестовых ответимых вопросах у обоих методов Recall@1 в исходном опыте равна 0,875. При расширении выдачи до трёх документов у TF-IDF Recall@3 около 0,9375, у SVD — 1. Эти числа полезно сопоставить с теми запросами, где порядок изменился.</w:t>
      </w:r>
    </w:p>
    <w:p>
      <w:pPr>
        <w:pStyle w:val="Heading1"/>
      </w:pPr>
      <w:r>
        <w:t>Слайд 23. Близость не добавляет фактов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L03-S10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L03-23</w:t>
      </w:r>
      <w:r>
        <w:t>.</w:t>
      </w:r>
    </w:p>
    <w:p>
      <w:r>
        <w:t>Другой вопрос касается суммы стипендии. Точная формулировка Q26 — «Сколько рублей составляет академическая стипендия?». Нужного числа в нашей базе нет, однако SVD находит документ D11 с косинусом около 0,9909. Высокое сходство не добавляет в документ отсутствующую сумму. Этот случай особенно важен перед RAG: генератору потребуется различать полезный источник и документ, который просто относится к похожей теме.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