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к презентации</w:t>
      </w:r>
    </w:p>
    <w:p>
      <w:r>
        <w:t>Эмбеддинги и поиск</w:t>
      </w:r>
    </w:p>
    <w:p>
      <w:pPr>
        <w:pStyle w:val="Heading1"/>
      </w:pPr>
      <w:r>
        <w:t>01. Эмбеддинги и поиск</w:t>
      </w:r>
    </w:p>
    <w:p>
      <w:pPr>
        <w:keepNext/>
        <w:ind w:left="198" w:hanging="198"/>
      </w:pPr>
      <w:r>
        <w:t>– Категория уже известна, но для ответа нужна конкретная инструкция.</w:t>
      </w:r>
    </w:p>
    <w:p>
      <w:pPr>
        <w:keepNext w:val="0"/>
        <w:ind w:left="198" w:hanging="198"/>
      </w:pPr>
      <w:r>
        <w:t>– Сегодня проследить представление, ранжирование и чтение найденного источника.</w:t>
      </w:r>
    </w:p>
    <w:p>
      <w:pPr>
        <w:pStyle w:val="Heading1"/>
      </w:pPr>
      <w:r>
        <w:t>02. Пользователю нужен документ</w:t>
      </w:r>
    </w:p>
    <w:p>
      <w:pPr>
        <w:keepNext/>
        <w:ind w:left="198" w:hanging="198"/>
      </w:pPr>
      <w:r>
        <w:t>– Для продления книги нужен текст с условиями.</w:t>
      </w:r>
    </w:p>
    <w:p>
      <w:pPr>
        <w:keepNext/>
        <w:ind w:left="198" w:hanging="198"/>
      </w:pPr>
      <w:r>
        <w:t>– Порядок результатов важен: документ о заселении не должен вытеснять нужную инструкцию.</w:t>
      </w:r>
    </w:p>
    <w:p>
      <w:pPr>
        <w:keepNext w:val="0"/>
        <w:ind w:left="198" w:hanging="198"/>
      </w:pPr>
      <w:r>
        <w:t>– Далее векторизуем коллекцию.</w:t>
      </w:r>
    </w:p>
    <w:p>
      <w:pPr>
        <w:pStyle w:val="Heading1"/>
      </w:pPr>
      <w:r>
        <w:t>03. Смысл распределён по вектору</w:t>
      </w:r>
    </w:p>
    <w:p>
      <w:pPr>
        <w:keepNext/>
        <w:ind w:left="198" w:hanging="198"/>
      </w:pPr>
      <w:r>
        <w:t>– В TF-IDF координаты привязаны к словарным признакам; у плотного вектора они обычно не имеют простых названий.</w:t>
      </w:r>
    </w:p>
    <w:p>
      <w:pPr>
        <w:keepNext w:val="0"/>
        <w:ind w:left="198" w:hanging="198"/>
      </w:pPr>
      <w:r>
        <w:t>– Значения здесь схематические, не результаты кодирования.</w:t>
      </w:r>
    </w:p>
    <w:p>
      <w:pPr>
        <w:pStyle w:val="Heading1"/>
      </w:pPr>
      <w:r>
        <w:t>04. Общее пространство векторов</w:t>
      </w:r>
    </w:p>
    <w:p>
      <w:pPr>
        <w:keepNext/>
        <w:ind w:left="198" w:hanging="198"/>
      </w:pPr>
      <w:r>
        <w:t>– Одинаковая размерность двух векторов не гарантирует одинакового смысла координат.</w:t>
      </w:r>
    </w:p>
    <w:p>
      <w:pPr>
        <w:keepNext/>
        <w:ind w:left="198" w:hanging="198"/>
      </w:pPr>
      <w:r>
        <w:t>– Показаны условные словарные оси, переставленные местами.</w:t>
      </w:r>
    </w:p>
    <w:p>
      <w:pPr>
        <w:keepNext w:val="0"/>
        <w:ind w:left="198" w:hanging="198"/>
      </w:pPr>
      <w:r>
        <w:t>– Реальные энкодеры могут различаться сложнее.</w:t>
      </w:r>
    </w:p>
    <w:p>
      <w:pPr>
        <w:pStyle w:val="Heading1"/>
      </w:pPr>
      <w:r>
        <w:t>05. Косинус сравнивает направления</w:t>
      </w:r>
    </w:p>
    <w:p>
      <w:pPr>
        <w:keepNext/>
        <w:ind w:left="198" w:hanging="198"/>
      </w:pPr>
      <w:r>
        <w:t>– Одинаковый масштаб осей. u и v образуют 45°, u и w — 90°.</w:t>
      </w:r>
    </w:p>
    <w:p>
      <w:pPr>
        <w:keepNext/>
        <w:ind w:left="198" w:hanging="198"/>
      </w:pPr>
      <w:r>
        <w:t>– Косинусы равны примерно 0,7071 и 0.</w:t>
      </w:r>
    </w:p>
    <w:p>
      <w:pPr>
        <w:keepNext/>
        <w:ind w:left="198" w:hanging="198"/>
      </w:pPr>
      <w:r>
        <w:t>– Это геометрия заданных векторов, а не вероятность ответа.</w:t>
      </w:r>
    </w:p>
    <w:p>
      <w:pPr>
        <w:keepNext w:val="0"/>
        <w:ind w:left="198" w:hanging="198"/>
      </w:pPr>
      <w:r>
        <w:t>– Следующий слайд разбирает первый расчёт.</w:t>
      </w:r>
    </w:p>
    <w:p>
      <w:pPr>
        <w:pStyle w:val="Heading1"/>
      </w:pPr>
      <w:r>
        <w:t>06. Один косинус вручную</w:t>
      </w:r>
    </w:p>
    <w:p>
      <w:pPr>
        <w:keepNext/>
        <w:ind w:left="198" w:hanging="198"/>
      </w:pPr>
      <w:r>
        <w:t>– Скалярное произведение равно 1, длины векторов равны 1 и √2.</w:t>
      </w:r>
    </w:p>
    <w:p>
      <w:pPr>
        <w:keepNext/>
        <w:ind w:left="198" w:hanging="198"/>
      </w:pPr>
      <w:r>
        <w:t>– Подставить числа в формулу.</w:t>
      </w:r>
    </w:p>
    <w:p>
      <w:pPr>
        <w:keepNext/>
        <w:ind w:left="198" w:hanging="198"/>
      </w:pPr>
      <w:r>
        <w:t>– Для единичных норм косинус совпадает со скалярным произведением, что удобно при сравнении со всеми документами.</w:t>
      </w:r>
    </w:p>
    <w:p>
      <w:pPr>
        <w:keepNext w:val="0"/>
        <w:ind w:left="198" w:hanging="198"/>
      </w:pPr>
      <w:r>
        <w:t>– Затем изменить масштаб одного вектора.</w:t>
      </w:r>
    </w:p>
    <w:p>
      <w:pPr>
        <w:pStyle w:val="Heading1"/>
      </w:pPr>
      <w:r>
        <w:t>07. Масштаб не меняет косинус</w:t>
      </w:r>
    </w:p>
    <w:p>
      <w:pPr>
        <w:keepNext/>
        <w:ind w:left="198" w:hanging="198"/>
      </w:pPr>
      <w:r>
        <w:t>– Умножение v на положительное число 10 увеличивает в 10 раз и скалярное произведение, и норму v.</w:t>
      </w:r>
    </w:p>
    <w:p>
      <w:pPr>
        <w:keepNext/>
        <w:ind w:left="198" w:hanging="198"/>
      </w:pPr>
      <w:r>
        <w:t>– Отношение сохраняется.</w:t>
      </w:r>
    </w:p>
    <w:p>
      <w:pPr>
        <w:keepNext/>
        <w:ind w:left="198" w:hanging="198"/>
      </w:pPr>
      <w:r>
        <w:t>– При отрицательном масштабе направление меняется.</w:t>
      </w:r>
    </w:p>
    <w:p>
      <w:pPr>
        <w:keepNext w:val="0"/>
        <w:ind w:left="198" w:hanging="198"/>
      </w:pPr>
      <w:r>
        <w:t>– Нулевой вектор разберём отдельно.</w:t>
      </w:r>
    </w:p>
    <w:p>
      <w:pPr>
        <w:pStyle w:val="Heading1"/>
      </w:pPr>
      <w:r>
        <w:t>08. Нулевой запрос требует решения</w:t>
      </w:r>
    </w:p>
    <w:p>
      <w:pPr>
        <w:keepNext/>
        <w:ind w:left="198" w:hanging="198"/>
      </w:pPr>
      <w:r>
        <w:t>– Если ни один фрагмент запроса не попал в словарь, норма равна 0 и косинус не определён.</w:t>
      </w:r>
    </w:p>
    <w:p>
      <w:pPr>
        <w:keepNext/>
        <w:ind w:left="198" w:hanging="198"/>
      </w:pPr>
      <w:r>
        <w:t>– Наша функция возвращает пустую выдачу.</w:t>
      </w:r>
    </w:p>
    <w:p>
      <w:pPr>
        <w:keepNext/>
        <w:ind w:left="198" w:hanging="198"/>
      </w:pPr>
      <w:r>
        <w:t>– Случай ненулевого запроса и нулевой оценки отдельного документа разберём на Q04.</w:t>
      </w:r>
    </w:p>
    <w:p>
      <w:pPr>
        <w:keepNext w:val="0"/>
        <w:ind w:left="198" w:hanging="198"/>
      </w:pPr>
      <w:r>
        <w:t>– Теперь сократим размерность представления.</w:t>
      </w:r>
    </w:p>
    <w:p>
      <w:pPr>
        <w:pStyle w:val="Heading1"/>
      </w:pPr>
      <w:r>
        <w:t>09. SVD выбирает направления</w:t>
      </w:r>
    </w:p>
    <w:p>
      <w:pPr>
        <w:keepNext/>
        <w:ind w:left="198" w:hanging="198"/>
      </w:pPr>
      <w:r>
        <w:t>– Направления V_k выбраны по матрице документов; запрос использует те же.</w:t>
      </w:r>
    </w:p>
    <w:p>
      <w:pPr>
        <w:keepNext/>
        <w:ind w:left="198" w:hanging="198"/>
      </w:pPr>
      <w:r>
        <w:t>– Сокращение ранга минимизирует квадратичную ошибку восстановления.</w:t>
      </w:r>
    </w:p>
    <w:p>
      <w:pPr>
        <w:keepNext w:val="0"/>
        <w:ind w:left="198" w:hanging="198"/>
      </w:pPr>
      <w:r>
        <w:t>– В следующем примере выполним это преобразование на конкретных числах.</w:t>
      </w:r>
    </w:p>
    <w:p>
      <w:pPr>
        <w:pStyle w:val="Heading1"/>
      </w:pPr>
      <w:r>
        <w:t>10. Проекция сохраняет выбранную ось</w:t>
      </w:r>
    </w:p>
    <w:p>
      <w:pPr>
        <w:keepNext/>
        <w:ind w:left="198" w:hanging="198"/>
      </w:pPr>
      <w:r>
        <w:t>– В ручной матрице сумма квадратов первой координаты равна 8, второй — 1; столбцы ортогональны.</w:t>
      </w:r>
    </w:p>
    <w:p>
      <w:pPr>
        <w:keepNext/>
        <w:ind w:left="198" w:hanging="198"/>
      </w:pPr>
      <w:r>
        <w:t>– При k=1 остаётся первая ось, с точностью до знака.</w:t>
      </w:r>
    </w:p>
    <w:p>
      <w:pPr>
        <w:keepNext/>
        <w:ind w:left="198" w:hanging="198"/>
      </w:pPr>
      <w:r>
        <w:t>– Проекции равны 2, 0 и 2.</w:t>
      </w:r>
    </w:p>
    <w:p>
      <w:pPr>
        <w:keepNext w:val="0"/>
        <w:ind w:left="198" w:hanging="198"/>
      </w:pPr>
      <w:r>
        <w:t>– Это учебные числа; далее покажем размеры матрицы основной работы.</w:t>
      </w:r>
    </w:p>
    <w:p>
      <w:pPr>
        <w:pStyle w:val="Heading1"/>
      </w:pPr>
      <w:r>
        <w:t>11. Компактность меняет информацию</w:t>
      </w:r>
    </w:p>
    <w:p>
      <w:pPr>
        <w:keepNext/>
        <w:ind w:left="198" w:hanging="198"/>
      </w:pPr>
      <w:r>
        <w:t>– Фактическая матрица TF-IDF имеет размер 12×670, после SVD — 12×6.</w:t>
      </w:r>
    </w:p>
    <w:p>
      <w:pPr>
        <w:keepNext/>
        <w:ind w:left="198" w:hanging="198"/>
      </w:pPr>
      <w:r>
        <w:t>– Двенадцать документов остаются теми же.</w:t>
      </w:r>
    </w:p>
    <w:p>
      <w:pPr>
        <w:keepNext/>
        <w:ind w:left="198" w:hanging="198"/>
      </w:pPr>
      <w:r>
        <w:t>– Размерность меньше, но полезность для запроса проверяется отдельно.</w:t>
      </w:r>
    </w:p>
    <w:p>
      <w:pPr>
        <w:keepNext w:val="0"/>
        <w:ind w:left="198" w:hanging="198"/>
      </w:pPr>
      <w:r>
        <w:t>– После нормировки перейдём к другому способу получить плотные представления — Word2Vec.</w:t>
      </w:r>
    </w:p>
    <w:p>
      <w:pPr>
        <w:pStyle w:val="Heading1"/>
      </w:pPr>
      <w:r>
        <w:t>12. Окно создаёт обучающие пары</w:t>
      </w:r>
    </w:p>
    <w:p>
      <w:pPr>
        <w:keepNext/>
        <w:ind w:left="198" w:hanging="198"/>
      </w:pPr>
      <w:r>
        <w:t>– Окно ±1 вокруг «читает» включает «студент» и «новую», но не «книгу».</w:t>
      </w:r>
    </w:p>
    <w:p>
      <w:pPr>
        <w:keepNext/>
        <w:ind w:left="198" w:hanging="198"/>
      </w:pPr>
      <w:r>
        <w:t>– Радиус 2 добавил бы и эту пару.</w:t>
      </w:r>
    </w:p>
    <w:p>
      <w:pPr>
        <w:keepNext/>
        <w:ind w:left="198" w:hanging="198"/>
      </w:pPr>
      <w:r>
        <w:t>– Обучающие ответы создаются из позиций в самом тексте.</w:t>
      </w:r>
    </w:p>
    <w:p>
      <w:pPr>
        <w:keepNext w:val="0"/>
        <w:ind w:left="198" w:hanging="198"/>
      </w:pPr>
      <w:r>
        <w:t>– Сопоставить это с обратной задачей CBOW.</w:t>
      </w:r>
    </w:p>
    <w:p>
      <w:pPr>
        <w:pStyle w:val="Heading1"/>
      </w:pPr>
      <w:r>
        <w:t>13. Skip-gram и CBOW меняют задачу</w:t>
      </w:r>
    </w:p>
    <w:p>
      <w:pPr>
        <w:keepNext/>
        <w:ind w:left="198" w:hanging="198"/>
      </w:pPr>
      <w:r>
        <w:t>– Один и тот же фрагмент даёт разные направления предсказания.</w:t>
      </w:r>
    </w:p>
    <w:p>
      <w:pPr>
        <w:keepNext/>
        <w:ind w:left="198" w:hanging="198"/>
      </w:pPr>
      <w:r>
        <w:t>– В CBOW используется объединённое представление окружения.</w:t>
      </w:r>
    </w:p>
    <w:p>
      <w:pPr>
        <w:keepNext w:val="0"/>
        <w:ind w:left="198" w:hanging="198"/>
      </w:pPr>
      <w:r>
        <w:t>– Это разные обучающие задачи, а не последовательные шаги одного энкодера.</w:t>
      </w:r>
    </w:p>
    <w:p>
      <w:pPr>
        <w:pStyle w:val="Heading1"/>
      </w:pPr>
      <w:r>
        <w:t>14. Учимся различать пары</w:t>
      </w:r>
    </w:p>
    <w:p>
      <w:pPr>
        <w:keepNext/>
        <w:ind w:left="198" w:hanging="198"/>
      </w:pPr>
      <w:r>
        <w:t>– «Замок» выбран отрицательным примером конкретного шага; это не запрет сочетания в языке.</w:t>
      </w:r>
    </w:p>
    <w:p>
      <w:pPr>
        <w:keepNext/>
        <w:ind w:left="198" w:hanging="198"/>
      </w:pPr>
      <w:r>
        <w:t>– К скалярному произведению обучаемых векторов применяется сигмоида.</w:t>
      </w:r>
    </w:p>
    <w:p>
      <w:pPr>
        <w:keepNext/>
        <w:ind w:left="198" w:hanging="198"/>
      </w:pPr>
      <w:r>
        <w:t>– Потеря поощряет большую оценку положительной пары и меньшую отрицательной.</w:t>
      </w:r>
    </w:p>
    <w:p>
      <w:pPr>
        <w:keepNext w:val="0"/>
        <w:ind w:left="198" w:hanging="198"/>
      </w:pPr>
      <w:r>
        <w:t>– Затем обсудить внутреннее устройство слова.</w:t>
      </w:r>
    </w:p>
    <w:p>
      <w:pPr>
        <w:pStyle w:val="Heading1"/>
      </w:pPr>
      <w:r>
        <w:t>15. Подслова помогают новой форме</w:t>
      </w:r>
    </w:p>
    <w:p>
      <w:pPr>
        <w:keepNext/>
        <w:ind w:left="198" w:hanging="198"/>
      </w:pPr>
      <w:r>
        <w:t>– Книга и книгой имеют общие символьные части.</w:t>
      </w:r>
    </w:p>
    <w:p>
      <w:pPr>
        <w:keepNext/>
        <w:ind w:left="198" w:hanging="198"/>
      </w:pPr>
      <w:r>
        <w:t>– В fastText обучаемые подсловные векторы участвуют в представлении слова.</w:t>
      </w:r>
    </w:p>
    <w:p>
      <w:pPr>
        <w:keepNext/>
        <w:ind w:left="198" w:hanging="198"/>
      </w:pPr>
      <w:r>
        <w:t>– Это не морфемный разбор.</w:t>
      </w:r>
    </w:p>
    <w:p>
      <w:pPr>
        <w:keepNext w:val="0"/>
        <w:ind w:left="198" w:hanging="198"/>
      </w:pPr>
      <w:r>
        <w:t>– Далее меняется и контекст употребления.</w:t>
      </w:r>
    </w:p>
    <w:p>
      <w:pPr>
        <w:pStyle w:val="Heading1"/>
      </w:pPr>
      <w:r>
        <w:t>16. Контекст меняет вектор позиции</w:t>
      </w:r>
    </w:p>
    <w:p>
      <w:pPr>
        <w:keepNext/>
        <w:ind w:left="198" w:hanging="198"/>
      </w:pPr>
      <w:r>
        <w:t>– Здесь два употребления слова, а не две записи статического словаря.</w:t>
      </w:r>
    </w:p>
    <w:p>
      <w:pPr>
        <w:keepNext w:val="0"/>
        <w:ind w:left="198" w:hanging="198"/>
      </w:pPr>
      <w:r>
        <w:t>– На слайде сопоставлены два употребления; численные значения векторов не показаны.</w:t>
      </w:r>
    </w:p>
    <w:p>
      <w:pPr>
        <w:pStyle w:val="Heading1"/>
      </w:pPr>
      <w:r>
        <w:t>17. От текста к вектору документа</w:t>
      </w:r>
    </w:p>
    <w:p>
      <w:pPr>
        <w:keepNext/>
        <w:ind w:left="198" w:hanging="198"/>
      </w:pPr>
      <w:r>
        <w:t>– Различить входной текст, векторы позиций h_i и агрегированный вектор документа.</w:t>
      </w:r>
    </w:p>
    <w:p>
      <w:pPr>
        <w:keepNext/>
        <w:ind w:left="198" w:hanging="198"/>
      </w:pPr>
      <w:r>
        <w:t>– Каждый h_i сам является вектором.</w:t>
      </w:r>
    </w:p>
    <w:p>
      <w:pPr>
        <w:keepNext/>
        <w:ind w:left="198" w:hanging="198"/>
      </w:pPr>
      <w:r>
        <w:t>– Pooling выбирается по модели; CLS будет подробно разобран в L06.</w:t>
      </w:r>
    </w:p>
    <w:p>
      <w:pPr>
        <w:keepNext w:val="0"/>
        <w:ind w:left="198" w:hanging="198"/>
      </w:pPr>
      <w:r>
        <w:t>– Для поиска итоговый вектор должен совпадать по смыслу координат с индексом.</w:t>
      </w:r>
    </w:p>
    <w:p>
      <w:pPr>
        <w:pStyle w:val="Heading1"/>
      </w:pPr>
      <w:r>
        <w:t>18. Запрос проходит тот же путь</w:t>
      </w:r>
    </w:p>
    <w:p>
      <w:pPr>
        <w:keepNext/>
        <w:ind w:left="198" w:hanging="198"/>
      </w:pPr>
      <w:r>
        <w:t>– TF-IDF и SVD обучаются на документах; индекс сохраняет соответствие строк и doc_id.</w:t>
      </w:r>
    </w:p>
    <w:p>
      <w:pPr>
        <w:keepNext/>
        <w:ind w:left="198" w:hanging="198"/>
      </w:pPr>
      <w:r>
        <w:t>– К запросу применяются эти преобразования через transform.</w:t>
      </w:r>
    </w:p>
    <w:p>
      <w:pPr>
        <w:keepNext/>
        <w:ind w:left="198" w:hanging="198"/>
      </w:pPr>
      <w:r>
        <w:t>– Эталонные ответы в fit не включаются.</w:t>
      </w:r>
    </w:p>
    <w:p>
      <w:pPr>
        <w:keepNext w:val="0"/>
        <w:ind w:left="198" w:hanging="198"/>
      </w:pPr>
      <w:r>
        <w:t>– Дальше оценим полученный порядок документов.</w:t>
      </w:r>
    </w:p>
    <w:p>
      <w:pPr>
        <w:pStyle w:val="Heading1"/>
      </w:pPr>
      <w:r>
        <w:t>19. Ранг меняет вклад в метрику</w:t>
      </w:r>
    </w:p>
    <w:p>
      <w:pPr>
        <w:keepNext/>
        <w:ind w:left="198" w:hanging="198"/>
      </w:pPr>
      <w:r>
        <w:t>– Ранги эталонов: 1, 3, отсутствие в top-3 и 2.</w:t>
      </w:r>
    </w:p>
    <w:p>
      <w:pPr>
        <w:keepNext/>
        <w:ind w:left="198" w:hanging="198"/>
      </w:pPr>
      <w:r>
        <w:t>– Вклад MRR равен обратному рангу; вне top-3 он нулевой.</w:t>
      </w:r>
    </w:p>
    <w:p>
      <w:pPr>
        <w:keepNext w:val="0"/>
        <w:ind w:left="198" w:hanging="198"/>
      </w:pPr>
      <w:r>
        <w:t>– На следующем кадре усредняем по четырём ответимым вопросам.</w:t>
      </w:r>
    </w:p>
    <w:p>
      <w:pPr>
        <w:pStyle w:val="Heading1"/>
      </w:pPr>
      <w:r>
        <w:t>20. Попадание и ранг</w:t>
      </w:r>
    </w:p>
    <w:p>
      <w:pPr>
        <w:keepNext/>
        <w:ind w:left="198" w:hanging="198"/>
      </w:pPr>
      <w:r>
        <w:t>– Один первый ранг из четырёх, три попадания в top-3 из четырёх.</w:t>
      </w:r>
    </w:p>
    <w:p>
      <w:pPr>
        <w:keepNext/>
        <w:ind w:left="198" w:hanging="198"/>
      </w:pPr>
      <w:r>
        <w:t>– Сумма обратных рангов равна 11/6; делим её на 4.</w:t>
      </w:r>
    </w:p>
    <w:p>
      <w:pPr>
        <w:keepNext/>
        <w:ind w:left="198" w:hanging="198"/>
      </w:pPr>
      <w:r>
        <w:t>– Перемещение эталона с третьего места на второе сохраняет Recall@3 и повышает MRR@3.</w:t>
      </w:r>
    </w:p>
    <w:p>
      <w:pPr>
        <w:keepNext w:val="0"/>
        <w:ind w:left="198" w:hanging="198"/>
      </w:pPr>
      <w:r>
        <w:t>– Затем посмотрим реальную выдачу.</w:t>
      </w:r>
    </w:p>
    <w:p>
      <w:pPr>
        <w:pStyle w:val="Heading1"/>
      </w:pPr>
      <w:r>
        <w:t>21. Место при нулевой оценке</w:t>
      </w:r>
    </w:p>
    <w:p>
      <w:pPr>
        <w:keepNext/>
        <w:ind w:left="198" w:hanging="198"/>
      </w:pPr>
      <w:r>
        <w:t>– Q04: «Какие сведения нужны при технической ошибке?».</w:t>
      </w:r>
    </w:p>
    <w:p>
      <w:pPr>
        <w:keepNext/>
        <w:ind w:left="198" w:hanging="198"/>
      </w:pPr>
      <w:r>
        <w:t>– В TF-IDF D02 третий с score=0; его место определяется doc_id после D05 и D01.</w:t>
      </w:r>
    </w:p>
    <w:p>
      <w:pPr>
        <w:keepNext/>
        <w:ind w:left="198" w:hanging="198"/>
      </w:pPr>
      <w:r>
        <w:t>– В SVD D02 первый с близостью около 0,7899.</w:t>
      </w:r>
    </w:p>
    <w:p>
      <w:pPr>
        <w:keepNext/>
        <w:ind w:left="198" w:hanging="198"/>
      </w:pPr>
      <w:r>
        <w:t>– Вклад Recall@3 одинаков, вклад MRR меняется с 1/3 на 1.</w:t>
      </w:r>
    </w:p>
    <w:p>
      <w:pPr>
        <w:keepNext w:val="0"/>
        <w:ind w:left="198" w:hanging="198"/>
      </w:pPr>
      <w:r>
        <w:t>– Эталон действительно содержит нужные сведения.</w:t>
      </w:r>
    </w:p>
    <w:p>
      <w:pPr>
        <w:pStyle w:val="Heading1"/>
      </w:pPr>
      <w:r>
        <w:t>22. Разница — одно попадание</w:t>
      </w:r>
    </w:p>
    <w:p>
      <w:pPr>
        <w:keepNext/>
        <w:ind w:left="198" w:hanging="198"/>
      </w:pPr>
      <w:r>
        <w:t>– На тесте 16 вопросов с эталоном.</w:t>
      </w:r>
    </w:p>
    <w:p>
      <w:pPr>
        <w:keepNext/>
        <w:ind w:left="198" w:hanging="198"/>
      </w:pPr>
      <w:r>
        <w:t>– Recall@1 у обоих методов — 14/16; Recall@3 у TF-IDF — 15/16, у SVD — 16/16.</w:t>
      </w:r>
    </w:p>
    <w:p>
      <w:pPr>
        <w:keepNext/>
        <w:ind w:left="198" w:hanging="198"/>
      </w:pPr>
      <w:r>
        <w:t>– Разница соответствует одному вопросу в маленькой коллекции.</w:t>
      </w:r>
    </w:p>
    <w:p>
      <w:pPr>
        <w:keepNext w:val="0"/>
        <w:ind w:left="198" w:hanging="198"/>
      </w:pPr>
      <w:r>
        <w:t>– Для вопросов без ответа нужен отдельный разбор.</w:t>
      </w:r>
    </w:p>
    <w:p>
      <w:pPr>
        <w:pStyle w:val="Heading1"/>
      </w:pPr>
      <w:r>
        <w:t>23. Близость не добавляет фактов</w:t>
      </w:r>
    </w:p>
    <w:p>
      <w:pPr>
        <w:keepNext/>
        <w:ind w:left="198" w:hanging="198"/>
      </w:pPr>
      <w:r>
        <w:t>– Точная строка Q26 взята из CSV.</w:t>
      </w:r>
    </w:p>
    <w:p>
      <w:pPr>
        <w:keepNext/>
        <w:ind w:left="198" w:hanging="198"/>
      </w:pPr>
      <w:r>
        <w:t>– SVD возвращает D11 с косинусом 0,9909, но документ о назначении не сообщает сумму.</w:t>
      </w:r>
    </w:p>
    <w:p>
      <w:pPr>
        <w:keepNext/>
        <w:ind w:left="198" w:hanging="198"/>
      </w:pPr>
      <w:r>
        <w:t>– Близость темы не является вероятностью наличия факта.</w:t>
      </w:r>
    </w:p>
    <w:p>
      <w:pPr>
        <w:keepNext w:val="0"/>
        <w:ind w:left="198" w:hanging="198"/>
      </w:pPr>
      <w:r>
        <w:t>– Завершить предложением проверить источник; на следующем занятии перейдём к предсказанию продолжения.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