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План лекции «Как языковая модель продолжает текст»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3231"/>
        <w:gridCol w:w="4365"/>
      </w:tblGrid>
      <w:tr>
        <w:trPr>
          <w:cantSplit/>
          <w:tblHeader/>
        </w:trPr>
        <w:tc>
          <w:tcPr>
            <w:tcW w:type="dxa" w:w="1701"/>
            <w:tcBorders>
              <w:bottom w:val="single" w:sz="6" w:color="A9AEB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Часть</w:t>
            </w:r>
          </w:p>
        </w:tc>
        <w:tc>
          <w:tcPr>
            <w:tcW w:type="dxa" w:w="3231"/>
            <w:tcBorders>
              <w:bottom w:val="single" w:sz="6" w:color="A9AEB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Содержание</w:t>
            </w:r>
          </w:p>
        </w:tc>
        <w:tc>
          <w:tcPr>
            <w:tcW w:type="dxa" w:w="4365"/>
            <w:tcBorders>
              <w:bottom w:val="single" w:sz="6" w:color="A9AEB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Совместный разбор</w:t>
            </w:r>
          </w:p>
        </w:tc>
      </w:tr>
      <w:tr>
        <w:trPr>
          <w:cantSplit/>
        </w:trPr>
        <w:tc>
          <w:tcPr>
            <w:tcW w:type="dxa" w:w="170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Следующий токен</w:t>
            </w:r>
          </w:p>
        </w:tc>
        <w:tc>
          <w:tcPr>
            <w:tcW w:type="dxa" w:w="323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Распределение, цепное правило, границы</w:t>
            </w:r>
          </w:p>
        </w:tc>
        <w:tc>
          <w:tcPr>
            <w:tcW w:type="dxa" w:w="436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Дерево продолжений и вероятность пути</w:t>
            </w:r>
          </w:p>
        </w:tc>
      </w:tr>
      <w:tr>
        <w:trPr>
          <w:cantSplit/>
        </w:trPr>
        <w:tc>
          <w:tcPr>
            <w:tcW w:type="dxa" w:w="170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Частотная модель</w:t>
            </w:r>
          </w:p>
        </w:tc>
        <w:tc>
          <w:tcPr>
            <w:tcW w:type="dxa" w:w="323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N-граммы, add-alpha, UNK</w:t>
            </w:r>
          </w:p>
        </w:tc>
        <w:tc>
          <w:tcPr>
            <w:tcW w:type="dxa" w:w="436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Три предложения, счётчики и полное распределение</w:t>
            </w:r>
          </w:p>
        </w:tc>
      </w:tr>
      <w:tr>
        <w:trPr>
          <w:cantSplit/>
        </w:trPr>
        <w:tc>
          <w:tcPr>
            <w:tcW w:type="dxa" w:w="170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Оценка и генерация</w:t>
            </w:r>
          </w:p>
        </w:tc>
        <w:tc>
          <w:tcPr>
            <w:tcW w:type="dxa" w:w="323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Потеря, perplexity, greedy, sampling</w:t>
            </w:r>
          </w:p>
        </w:tc>
        <w:tc>
          <w:tcPr>
            <w:tcW w:type="dxa" w:w="436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0,5×0,25×0,5; контрпример жадного пути</w:t>
            </w:r>
          </w:p>
        </w:tc>
      </w:tr>
      <w:tr>
        <w:trPr>
          <w:cantSplit/>
        </w:trPr>
        <w:tc>
          <w:tcPr>
            <w:tcW w:type="dxa" w:w="170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Рекуррентная сеть</w:t>
            </w:r>
          </w:p>
        </w:tc>
        <w:tc>
          <w:tcPr>
            <w:tcW w:type="dxa" w:w="323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Состояние, сдвиг целей, teacher forcing</w:t>
            </w:r>
          </w:p>
        </w:tc>
        <w:tc>
          <w:tcPr>
            <w:tcW w:type="dxa" w:w="436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Два скалярных шага и два ряда токенов</w:t>
            </w:r>
          </w:p>
        </w:tc>
      </w:tr>
      <w:tr>
        <w:trPr>
          <w:cantSplit/>
        </w:trPr>
        <w:tc>
          <w:tcPr>
            <w:tcW w:type="dxa" w:w="170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Эксперимент</w:t>
            </w:r>
          </w:p>
        </w:tc>
        <w:tc>
          <w:tcPr>
            <w:tcW w:type="dxa" w:w="323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Один словарь, выбор порядка, разбор вывода</w:t>
            </w:r>
          </w:p>
        </w:tc>
        <w:tc>
          <w:tcPr>
            <w:tcW w:type="dxa" w:w="436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Метрики вместе с покрытием и генерацией</w:t>
            </w:r>
          </w:p>
        </w:tc>
      </w:tr>
    </w:tbl>
    <w:p>
      <w:pPr>
        <w:spacing w:after="0"/>
      </w:pPr>
    </w:p>
    <w:p>
      <w:r>
        <w:t>Ориентир на 90 минут: 12 минут на постановку, 24 на частоты и сглаживание, 22 на оценку и генерацию, 22 на RNN и 10 на разбор эксперимента. Время включает ручные вычисления, вопросы аудитории и обсуждение примеров.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19" w:right="1304" w:bottom="1191" w:left="1304" w:header="539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717782"/>
        <w:sz w:val="16"/>
      </w:rPr>
      <w:t>Системы искусственного интеллекта · NLP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1" w:lineRule="auto" w:after="140"/>
    </w:pPr>
    <w:rPr>
      <w:rFonts w:ascii="Cambria" w:hAnsi="Cambria"/>
      <w:color w:val="1B1D22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Cambria" w:hAnsi="Cambria"/>
      <w:b/>
      <w:bCs/>
      <w:color w:val="171A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171A2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 w:before="0"/>
      <w:contextualSpacing/>
    </w:pPr>
    <w:rPr>
      <w:rFonts w:asciiTheme="majorHAnsi" w:eastAsiaTheme="majorEastAsia" w:hAnsiTheme="majorHAnsi" w:cstheme="majorBidi" w:ascii="Cambria" w:hAnsi="Cambria"/>
      <w:b w:val="0"/>
      <w:color w:val="171A2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