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Связь презентации и лекции</w:t>
      </w:r>
    </w:p>
    <w:p>
      <w:r>
        <w:t>Как языковая модель продолжает текст</w:t>
      </w:r>
    </w:p>
    <w:p>
      <w:pPr>
        <w:pStyle w:val="Heading1"/>
      </w:pPr>
      <w:r>
        <w:t>Слайд 01. Как языковая модель продолжает текст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L04-S01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L04-01</w:t>
      </w:r>
      <w:r>
        <w:t>.</w:t>
      </w:r>
    </w:p>
    <w:p>
      <w:r>
        <w:t>Начнём с фразы «Студент открыл…». Как её продолжить? Можно открыть учебник, дверь, окно или личный кабинет. Если перед этим обсуждался вход на сайт, один вариант станет естественнее. Если речь шла о душной аудитории — другой. Нам нужна программа, которая учитывает уже написанное и оценивает возможные продолжения.</w:t>
      </w:r>
    </w:p>
    <w:p>
      <w:pPr>
        <w:pStyle w:val="Heading1"/>
      </w:pPr>
      <w:r>
        <w:t>Слайд 02. У префикса несколько продолжений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L04-S01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L04-02</w:t>
      </w:r>
      <w:r>
        <w:t>.</w:t>
      </w:r>
    </w:p>
    <w:p>
      <w:r>
        <w:t>Языковая модель задаёт распределение вероятностей следующего токена по префиксу. Внутри одного шага вероятности всех допустимых вариантов складываются в единицу. Само распределение ещё не является ответом: из него нужно выбрать токен. После выбора токен добавляется к префиксу, и следующий шаг получает уже другое начало.</w:t>
      </w:r>
    </w:p>
    <w:p>
      <w:pPr>
        <w:pStyle w:val="Heading1"/>
      </w:pPr>
      <w:r>
        <w:t>Слайд 03. У последовательности есть границы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L04-S01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L04-03</w:t>
      </w:r>
      <w:r>
        <w:t>.</w:t>
      </w:r>
    </w:p>
    <w:p>
      <w:r>
        <w:t>Пока договоримся о границах. BOS обозначает начало последовательности и служит контекстом. EOS — конец, который модель должна предсказать. После EOS генерация завершается. Различие удобно увидеть на пустом тексте: слов нет, но событие завершения всё равно есть.</w:t>
      </w:r>
    </w:p>
    <w:p>
      <w:pPr>
        <w:pStyle w:val="Heading1"/>
      </w:pPr>
      <w:r>
        <w:t>Слайд 04. Вероятность пути — произведение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L04-S02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L04-04</w:t>
      </w:r>
      <w:r>
        <w:t>.</w:t>
      </w:r>
    </w:p>
    <w:p>
      <w:r>
        <w:t>Для последовательности w₁, w₂, …, w_T цепное правило записывает вероятность как произведение условных вероятностей: P(w₁,…,w_T)=∏ₜP(wₜ|w₁,…,wₜ₋₁). Каждый множитель оценивает следующий токен при уже заданных предыдущих. Если мы моделируем завершённый текст, последним токеном в этой записи будет EOS.</w:t>
      </w:r>
    </w:p>
    <w:p>
      <w:pPr>
        <w:pStyle w:val="Heading1"/>
      </w:pPr>
      <w:r>
        <w:t>Слайд 05. Длина истории равна n − 1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L04-S03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L04-05</w:t>
      </w:r>
      <w:r>
        <w:t>.</w:t>
      </w:r>
    </w:p>
    <w:p>
      <w:r>
        <w:t>Униграммная модель, n=1, предсказывает токен по общей частоте, без предыдущих слов. Биграммная, n=2, учитывает один предыдущий токен. Триграммная, n=3, — два. В число n входит и предсказываемый элемент, поэтому длина истории равна n−1.</w:t>
      </w:r>
    </w:p>
    <w:p>
      <w:pPr>
        <w:pStyle w:val="Heading1"/>
      </w:pPr>
      <w:r>
        <w:t>Слайд 06. Три предложения дают счётчики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L04-S03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L04-06</w:t>
      </w:r>
      <w:r>
        <w:t>.</w:t>
      </w:r>
    </w:p>
    <w:p>
      <w:r>
        <w:t xml:space="preserve">Возьмём три предложения: «студент читает книгу», «студент читает журнал», «студент возвращает книгу». Добавим к каждому BOS и EOS. После слова «студент» дважды встретилось «читает» и один раз «возвращает». </w:t>
      </w:r>
    </w:p>
    <w:p>
      <w:pPr>
        <w:pStyle w:val="Heading1"/>
      </w:pPr>
      <w:r>
        <w:t>Слайд 07. Частота становится вероятностью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L04-S03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L04-07</w:t>
      </w:r>
      <w:r>
        <w:t>.</w:t>
      </w:r>
    </w:p>
    <w:p>
      <w:r>
        <w:t>Биграммная оценка даёт P(читает|студент)=2/3 и P(возвращает|студент)=1/3.</w:t>
      </w:r>
    </w:p>
    <w:p>
      <w:pPr>
        <w:pStyle w:val="Heading1"/>
      </w:pPr>
      <w:r>
        <w:t>Слайд 08. Новый переход получает ноль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L04-S04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L04-08</w:t>
      </w:r>
      <w:r>
        <w:t>.</w:t>
      </w:r>
    </w:p>
    <w:p>
      <w:r>
        <w:t>В мини-корпусе переход «студент журнал» не встречался. Частотная оценка назначает ему ноль, хотя оба слова известны. Один нулевой множитель делает нулевой вероятность всего текста. Отсутствие сочетания в трёх предложениях — слабое основание считать его невозможным, поэтому изменим оценку.</w:t>
      </w:r>
    </w:p>
    <w:p>
      <w:pPr>
        <w:pStyle w:val="Heading1"/>
      </w:pPr>
      <w:r>
        <w:t>Слайд 09. Добавка меняет весь знаменатель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L04-S04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L04-09</w:t>
      </w:r>
      <w:r>
        <w:t>.</w:t>
      </w:r>
    </w:p>
    <w:p>
      <w:r>
        <w:t>При сглаживании add-alpha к каждому счётчику продолжения добавляется α&gt;0. Формула принимает вид P(w|h)=(c(h,w)+α)/(c(h)+α|V|), где V — фиксированный выходной словарь. Добавка в знаменателе учитывает все |V| возможных продолжений.</w:t>
      </w:r>
    </w:p>
    <w:p>
      <w:pPr>
        <w:pStyle w:val="Heading1"/>
      </w:pPr>
      <w:r>
        <w:t>Слайд 10. Сглаживание на семи токенах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L04-S04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L04-10</w:t>
      </w:r>
      <w:r>
        <w:t>.</w:t>
      </w:r>
    </w:p>
    <w:p>
      <w:r>
        <w:t>Для ручного примера положим α=1. В выходном словаре семь элементов: студент, читает, возвращает, книгу, журнал, EOS, UNK. Последний обозначает неизвестное слово; BOS в этот список не входит. После «студент» наблюдалось три продолжения, поэтому новый знаменатель равен 3+7=10.</w:t>
      </w:r>
    </w:p>
    <w:p>
      <w:pPr>
        <w:pStyle w:val="Heading1"/>
      </w:pPr>
      <w:r>
        <w:t>Слайд 11. UNK объединяет разные слова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L04-S04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L04-11</w:t>
      </w:r>
      <w:r>
        <w:t>.</w:t>
      </w:r>
    </w:p>
    <w:p>
      <w:r>
        <w:t>Неизвестное сочетание нужно отличать от неизвестного слова. Для слова вне словаря нет отдельной выходной координаты. В нашей работе редкие слова обучения, встретившиеся меньше двух раз, объединяются в UNK. Затем этот же словарь применяется к validation и test. Модель оценивает получившуюся последовательность, а различия между заменёнными словами уже потеряны.</w:t>
      </w:r>
    </w:p>
    <w:p>
      <w:pPr>
        <w:pStyle w:val="Heading1"/>
      </w:pPr>
      <w:r>
        <w:t>Слайд 12. Потеря на целевых токенах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L04-S05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L04-12</w:t>
      </w:r>
      <w:r>
        <w:t>.</w:t>
      </w:r>
    </w:p>
    <w:p>
      <w:r>
        <w:t>Чтобы проверить модель, предъявим ей новые тексты и на каждой позиции возьмём вероятность правильного следующего токена. Потеря позиции равна −ln p. Если вероятность близка к единице, потеря мала; если модель считает наблюдённый токен маловероятным, потеря растёт.</w:t>
      </w:r>
    </w:p>
    <w:p>
      <w:pPr>
        <w:pStyle w:val="Heading1"/>
      </w:pPr>
      <w:r>
        <w:t>Слайд 13. Perplexity на трёх событиях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L04-S05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L04-13</w:t>
      </w:r>
      <w:r>
        <w:t>.</w:t>
      </w:r>
    </w:p>
    <w:p>
      <w:r>
        <w:t>Вернёмся к вероятностям 0,5; 0,25; 0,5. Их произведение равно 1/16, поэтому H=ln16/3≈0,9242, а perplexity=16^(1/3)≈2,5198. В три цели включён EOS. BOS здесь задавал начало и целью не являлся.</w:t>
      </w:r>
    </w:p>
    <w:p>
      <w:pPr>
        <w:pStyle w:val="Heading1"/>
      </w:pPr>
      <w:r>
        <w:t>Слайд 14. Общие условия сравнения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L04-S05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L04-14</w:t>
      </w:r>
      <w:r>
        <w:t>.</w:t>
      </w:r>
    </w:p>
    <w:p>
      <w:r>
        <w:t>Для корпуса суммируем потери всех токенов и делим на их общее число. Простое среднее perplexity документов даст другое взвешивание: короткая записка и длинное письмо получат одинаковый вес. В нашей функции вместе с метрикой будет возвращаться число целей, чтобы можно было проверить знаменатель.</w:t>
      </w:r>
    </w:p>
    <w:p>
      <w:pPr>
        <w:pStyle w:val="Heading1"/>
      </w:pPr>
      <w:r>
        <w:t>Слайд 15. Greedy: локальный максимум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L04-S06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L04-15</w:t>
      </w:r>
      <w:r>
        <w:t>.</w:t>
      </w:r>
    </w:p>
    <w:p>
      <w:r>
        <w:t>Жадный выбор, greedy, берёт самый вероятный токен на каждом шаге. Это локальное решение. Проверим на дереве из двух шагов: первая ветвь A имеет вероятность 0,6, вторая B — 0,4. Лучший следующий переход после A равен 0,4, после B — 0,9. Greedy начинает с A и получает путь вероятности 0,24. Путь через B имеет вероятность 0,36.</w:t>
      </w:r>
    </w:p>
    <w:p>
      <w:pPr>
        <w:pStyle w:val="Heading1"/>
      </w:pPr>
      <w:r>
        <w:t>Слайд 16. Sampling создаёт разные пути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L04-S06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L04-16</w:t>
      </w:r>
      <w:r>
        <w:t>.</w:t>
      </w:r>
    </w:p>
    <w:p>
      <w:r>
        <w:t>При sampling следующий токен выбирается случайно с вероятностями модели. Самый частый вариант встречается чаще, но остальные тоже могут быть выбраны. Один и тот же префикс поэтому способен дать несколько продолжений. Для повторения опыта используем фиксированный seed; для наблюдения вариативности — несколько заранее выбранных значений.</w:t>
      </w:r>
    </w:p>
    <w:p>
      <w:pPr>
        <w:pStyle w:val="Heading1"/>
      </w:pPr>
      <w:r>
        <w:t>Слайд 17. RNN обновляет состояние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L04-S07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L04-17</w:t>
      </w:r>
      <w:r>
        <w:t>.</w:t>
      </w:r>
    </w:p>
    <w:p>
      <w:r>
        <w:t>N-граммная модель хранит конкретный короткий хвост. Рекуррентная нейросеть вместо этого обновляет вектор состояния после каждого токена. Предыдущее состояние и текущий вход вместе определяют новое. Его можно рассматривать как сжатое представление уже прочитанного префикса.</w:t>
      </w:r>
    </w:p>
    <w:p>
      <w:pPr>
        <w:pStyle w:val="Heading1"/>
      </w:pPr>
      <w:r>
        <w:t>Слайд 18. Нулевой вход не стирает прошлое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L04-S07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L04-18</w:t>
      </w:r>
      <w:r>
        <w:t>.</w:t>
      </w:r>
    </w:p>
    <w:p>
      <w:r>
        <w:t>Возьмём скалярный пример hₜ=tanh(0,5hₜ₋₁+eₜ), h₀=0. При e₁=1 получим h₁≈0,7616. Если e₂=0, то h₂≈0,3634. Второй вход нулевой, но влияние предыдущего ещё сохраняется. Для двух нулевых входов оба состояния были бы нулевыми. Эти параметры заданы вручную, чтобы увидеть действие связи.</w:t>
      </w:r>
    </w:p>
    <w:p>
      <w:pPr>
        <w:pStyle w:val="Heading1"/>
      </w:pPr>
      <w:r>
        <w:t>Слайд 19. Входы и цели сдвинуты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L04-S08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L04-19</w:t>
      </w:r>
      <w:r>
        <w:t>.</w:t>
      </w:r>
    </w:p>
    <w:p>
      <w:r>
        <w:t>Для «студент читает книгу» запишем два ряда. Входы: BOS, студент, читает, книгу. Цели: студент, читает, книгу, EOS. Сдвиг равен одной позиции. На каждом шаге считаем −ln вероятности соответствующей цели, затем объединяем потери.</w:t>
      </w:r>
    </w:p>
    <w:p>
      <w:pPr>
        <w:pStyle w:val="Heading1"/>
      </w:pPr>
      <w:r>
        <w:t>Слайд 20. Откуда берётся следующий вход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L04-S08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L04-20</w:t>
      </w:r>
      <w:r>
        <w:t>.</w:t>
      </w:r>
    </w:p>
    <w:p>
      <w:r>
        <w:t>В режиме teacher forcing следующий вход берётся из эталонного текста. Если целевое слово — «книгу», а модель предпочла «журнал», при обучении следующий шаг всё равно получит «книгу». При свободной генерации дальше пойдёт выбранный самой моделью токен. Ошибка тогда меняет все последующие условия.</w:t>
      </w:r>
    </w:p>
    <w:p>
      <w:pPr>
        <w:pStyle w:val="Heading1"/>
      </w:pPr>
      <w:r>
        <w:t>Слайд 21. LSTM управляет сохранением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L04-S08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L04-21</w:t>
      </w:r>
      <w:r>
        <w:t>.</w:t>
      </w:r>
    </w:p>
    <w:p>
      <w:r>
        <w:t>На длинной цепочке градиент может становиться очень маленьким или большим. Это затрудняет обучение дальних зависимостей. LSTM и GRU меняют устройство рекуррентного блока, чтобы гибче управлять сохранением информации. Например, LSTM поддерживает отдельное состояние ячейки и обучаемые коэффициенты сохранения, добавления и выдачи информации.</w:t>
      </w:r>
    </w:p>
    <w:p>
      <w:pPr>
        <w:pStyle w:val="Heading1"/>
      </w:pPr>
      <w:r>
        <w:t>Слайд 22. Валидация выбирает биграмму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L04-S09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L04-22</w:t>
      </w:r>
      <w:r>
        <w:t>.</w:t>
      </w:r>
    </w:p>
    <w:p>
      <w:r>
        <w:t>В работе возьмём по одному обращению из каждой группы: 72 текста для обучения, 24 для валидации и 24 для теста. Общий словарь строится на train, min_count=2. Сравниваются n=1,2,3 при α=0,1. После выбора по validation оценивается выбранный порядок на test.</w:t>
      </w:r>
    </w:p>
    <w:p>
      <w:pPr>
        <w:pStyle w:val="Heading1"/>
      </w:pPr>
      <w:r>
        <w:t>Слайд 23. Perplexity и покрытие словаря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L04-S09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L04-23</w:t>
      </w:r>
      <w:r>
        <w:t>.</w:t>
      </w:r>
    </w:p>
    <w:p>
      <w:r>
        <w:t>Тестовая perplexity биграммы составляет около 4,9404 на 190 целях. Чтобы понять абсолютную величину, посмотрим на покрытие: UNK заменил примерно 58,02% слов train, 68,48% validation и 71,08% test. Доля UNK считается по обычным словам, без EOS; в число целей perplexity EOS входит. Большая доля исходных различий потеряна. Более низкую тестовую perplexity по сравнению с обучающей нельзя объяснять только хорошим переносом: состав последовательностей после замены тоже различается.</w:t>
      </w:r>
    </w:p>
    <w:p>
      <w:pPr>
        <w:pStyle w:val="Heading1"/>
      </w:pPr>
      <w:r>
        <w:t>Слайд 24. Прочитаем продолжения</w:t>
      </w:r>
    </w:p>
    <w:p>
      <w:pPr>
        <w:keepNext/>
      </w:pPr>
      <w:r>
        <w:t xml:space="preserve">Раздел: </w:t>
      </w:r>
      <w:r>
        <w:rPr>
          <w:rFonts w:ascii="Courier New" w:hAnsi="Courier New"/>
          <w:sz w:val="21"/>
        </w:rPr>
        <w:t>L04-S09</w:t>
      </w:r>
      <w:r>
        <w:t xml:space="preserve">. Идентификатор слайда: </w:t>
      </w:r>
      <w:r>
        <w:rPr>
          <w:rFonts w:ascii="Courier New" w:hAnsi="Courier New"/>
          <w:sz w:val="21"/>
        </w:rPr>
        <w:t>L04-24</w:t>
      </w:r>
      <w:r>
        <w:t>.</w:t>
      </w:r>
    </w:p>
    <w:p>
      <w:r>
        <w:t>Генерация делает ограничение заметным. Greedy после «как» повторил UNK 40 раз и достиг предела. Sampling с seed 7 дал «как подать социальной стипендии» и EOS на четвёртом новом предсказании. Тема узнаваема, но фраза построена с грамматической ошибкой. Другие seed дали более длинные смеси конструкций. Чтение этих выходов помогает понять то, чего не видно в одной метрике.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