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Заметки к презентации</w:t>
      </w:r>
    </w:p>
    <w:p>
      <w:r>
        <w:t>Внимание и Transformer</w:t>
      </w:r>
    </w:p>
    <w:p>
      <w:pPr>
        <w:pStyle w:val="Heading1"/>
      </w:pPr>
      <w:r>
        <w:t>01. Внимание и Transformer</w:t>
      </w:r>
    </w:p>
    <w:p>
      <w:pPr>
        <w:keepNext/>
        <w:ind w:left="198" w:hanging="198"/>
      </w:pPr>
      <w:r>
        <w:t>– Начать с идеи: новое представление позиции объединяет информацию из доступного окружения.</w:t>
      </w:r>
    </w:p>
    <w:p>
      <w:pPr>
        <w:keepNext/>
        <w:ind w:left="198" w:hanging="198"/>
      </w:pPr>
      <w:r>
        <w:t>– Веса определяют вклад доступных позиций.</w:t>
      </w:r>
    </w:p>
    <w:p>
      <w:pPr>
        <w:keepNext w:val="0"/>
        <w:ind w:left="198" w:hanging="198"/>
      </w:pPr>
      <w:r>
        <w:t>– Сегодня разберём, как позиция может использовать информацию из окружения.</w:t>
      </w:r>
    </w:p>
    <w:p>
      <w:pPr>
        <w:pStyle w:val="Heading1"/>
      </w:pPr>
      <w:r>
        <w:t>02. Нужная деталь бывает далеко</w:t>
      </w:r>
    </w:p>
    <w:p>
      <w:pPr>
        <w:keepNext/>
        <w:ind w:left="198" w:hanging="198"/>
      </w:pPr>
      <w:r>
        <w:t>– Проследить раннюю деталь в длинном обращении.</w:t>
      </w:r>
    </w:p>
    <w:p>
      <w:pPr>
        <w:keepNext/>
        <w:ind w:left="198" w:hanging="198"/>
      </w:pPr>
      <w:r>
        <w:t>– RNN передаёт состояние по цепочке.</w:t>
      </w:r>
    </w:p>
    <w:p>
      <w:pPr>
        <w:keepNext w:val="0"/>
        <w:ind w:left="198" w:hanging="198"/>
      </w:pPr>
      <w:r>
        <w:t>– Attention позволяет сравнивать запрос с доступными ключами, в том числе удалёнными по позиции; вес ещё предстоит вычислить.</w:t>
      </w:r>
    </w:p>
    <w:p>
      <w:pPr>
        <w:pStyle w:val="Heading1"/>
      </w:pPr>
      <w:r>
        <w:t>03. Из X получаем Q, K и V</w:t>
      </w:r>
    </w:p>
    <w:p>
      <w:pPr>
        <w:keepNext/>
        <w:ind w:left="198" w:hanging="198"/>
      </w:pPr>
      <w:r>
        <w:t>– Показать общий вход и три отдельные обучаемые проекции.</w:t>
      </w:r>
    </w:p>
    <w:p>
      <w:pPr>
        <w:keepNext/>
        <w:ind w:left="198" w:hanging="198"/>
      </w:pPr>
      <w:r>
        <w:t>– Строка соответствует позиции.</w:t>
      </w:r>
    </w:p>
    <w:p>
      <w:pPr>
        <w:keepNext w:val="0"/>
        <w:ind w:left="198" w:hanging="198"/>
      </w:pPr>
      <w:r>
        <w:t>– Q и K имеют совместимую ширину; V может иметь другую.</w:t>
      </w:r>
    </w:p>
    <w:p>
      <w:pPr>
        <w:pStyle w:val="Heading1"/>
      </w:pPr>
      <w:r>
        <w:t>04. Размеры подсказывают порядок</w:t>
      </w:r>
    </w:p>
    <w:p>
      <w:pPr>
        <w:keepNext/>
        <w:ind w:left="198" w:hanging="198"/>
      </w:pPr>
      <w:r>
        <w:t>– Для устного примера подставить N=2 и M=3 в показанные общие размерности.</w:t>
      </w:r>
    </w:p>
    <w:p>
      <w:pPr>
        <w:keepNext/>
        <w:ind w:left="198" w:hanging="198"/>
      </w:pPr>
      <w:r>
        <w:t>– Сначала получается таблица 2×3, затем умножение на три значения даёт два выходных вектора.</w:t>
      </w:r>
    </w:p>
    <w:p>
      <w:pPr>
        <w:keepNext w:val="0"/>
        <w:ind w:left="198" w:hanging="198"/>
      </w:pPr>
      <w:r>
        <w:t>– Число запросов и ключей может различаться.</w:t>
      </w:r>
    </w:p>
    <w:p>
      <w:pPr>
        <w:pStyle w:val="Heading1"/>
      </w:pPr>
      <w:r>
        <w:t>05. Два запроса, два ключа</w:t>
      </w:r>
    </w:p>
    <w:p>
      <w:pPr>
        <w:keepNext/>
        <w:ind w:left="198" w:hanging="198"/>
      </w:pPr>
      <w:r>
        <w:t>– Первый запрос q₁=(1;0).</w:t>
      </w:r>
    </w:p>
    <w:p>
      <w:pPr>
        <w:keepNext/>
        <w:ind w:left="198" w:hanging="198"/>
      </w:pPr>
      <w:r>
        <w:t>– Его скалярные произведения с ключами равны 1 и 0.</w:t>
      </w:r>
    </w:p>
    <w:p>
      <w:pPr>
        <w:keepNext/>
        <w:ind w:left="198" w:hanging="198"/>
      </w:pPr>
      <w:r>
        <w:t>– Значения V пока не участвуют.</w:t>
      </w:r>
    </w:p>
    <w:p>
      <w:pPr>
        <w:keepNext w:val="0"/>
        <w:ind w:left="198" w:hanging="198"/>
      </w:pPr>
      <w:r>
        <w:t>– На слайде оценки уже разделены на √2; далее применим softmax.</w:t>
      </w:r>
    </w:p>
    <w:p>
      <w:pPr>
        <w:pStyle w:val="Heading1"/>
      </w:pPr>
      <w:r>
        <w:t>06. Из оценок получаются веса</w:t>
      </w:r>
    </w:p>
    <w:p>
      <w:pPr>
        <w:keepNext/>
        <w:ind w:left="198" w:hanging="198"/>
      </w:pPr>
      <w:r>
        <w:t>– После деления оценок на √2 уже получены 0,7071 и 0.</w:t>
      </w:r>
    </w:p>
    <w:p>
      <w:pPr>
        <w:keepNext/>
        <w:ind w:left="198" w:hanging="198"/>
      </w:pPr>
      <w:r>
        <w:t>– После softmax веса равны 0,6698 и 0,3302, их сумма — 1.</w:t>
      </w:r>
    </w:p>
    <w:p>
      <w:pPr>
        <w:keepNext w:val="0"/>
        <w:ind w:left="198" w:hanging="198"/>
      </w:pPr>
      <w:r>
        <w:t>– Нулевая оценка не означает нулевого веса.</w:t>
      </w:r>
    </w:p>
    <w:p>
      <w:pPr>
        <w:pStyle w:val="Heading1"/>
      </w:pPr>
      <w:r>
        <w:t>07. Выход — взвешенная сумма</w:t>
      </w:r>
    </w:p>
    <w:p>
      <w:pPr>
        <w:keepNext/>
        <w:ind w:left="198" w:hanging="198"/>
      </w:pPr>
      <w:r>
        <w:t>– Умножить каждое значение на его вес.</w:t>
      </w:r>
    </w:p>
    <w:p>
      <w:pPr>
        <w:keepNext/>
        <w:ind w:left="198" w:hanging="198"/>
      </w:pPr>
      <w:r>
        <w:t>– Получить (6,6976;0) и (0;6,6048), затем сложить координаты.</w:t>
      </w:r>
    </w:p>
    <w:p>
      <w:pPr>
        <w:keepNext w:val="0"/>
        <w:ind w:left="198" w:hanging="198"/>
      </w:pPr>
      <w:r>
        <w:t>– У меньшего веса может быть заметный вклад, если само значение больше.</w:t>
      </w:r>
    </w:p>
    <w:p>
      <w:pPr>
        <w:pStyle w:val="Heading1"/>
      </w:pPr>
      <w:r>
        <w:t>08. Расчёт для всех запросов</w:t>
      </w:r>
    </w:p>
    <w:p>
      <w:pPr>
        <w:keepNext/>
        <w:ind w:left="198" w:hanging="198"/>
      </w:pPr>
      <w:r>
        <w:t>– Каждая строка A относится к своему запросу.</w:t>
      </w:r>
    </w:p>
    <w:p>
      <w:pPr>
        <w:keepNext/>
        <w:ind w:left="198" w:hanging="198"/>
      </w:pPr>
      <w:r>
        <w:t>– В нашем симметричном примере веса меняются местами.</w:t>
      </w:r>
    </w:p>
    <w:p>
      <w:pPr>
        <w:keepNext w:val="0"/>
        <w:ind w:left="198" w:hanging="198"/>
      </w:pPr>
      <w:r>
        <w:t>– Умножение A на V даёт по новому вектору для каждой позиции; общего требования симметрии нет.</w:t>
      </w:r>
    </w:p>
    <w:p>
      <w:pPr>
        <w:pStyle w:val="Heading1"/>
      </w:pPr>
      <w:r>
        <w:t>09. Будущее закрыто до softmax</w:t>
      </w:r>
    </w:p>
    <w:p>
      <w:pPr>
        <w:keepNext/>
        <w:ind w:left="198" w:hanging="198"/>
      </w:pPr>
      <w:r>
        <w:t>– Заменить оценку будущего ключа на −∞ до softmax.</w:t>
      </w:r>
    </w:p>
    <w:p>
      <w:pPr>
        <w:keepNext/>
        <w:ind w:left="198" w:hanging="198"/>
      </w:pPr>
      <w:r>
        <w:t>– Exp(−∞)=0: первая строка весов становится (1;0).</w:t>
      </w:r>
    </w:p>
    <w:p>
      <w:pPr>
        <w:keepNext/>
        <w:ind w:left="198" w:hanging="198"/>
      </w:pPr>
      <w:r>
        <w:t>– Это результат применения маски, сама маска задаёт доступность.</w:t>
      </w:r>
    </w:p>
    <w:p>
      <w:pPr>
        <w:keepNext w:val="0"/>
        <w:ind w:left="198" w:hanging="198"/>
      </w:pPr>
      <w:r>
        <w:t>– Затем предложить вопрос следующего слайда.</w:t>
      </w:r>
    </w:p>
    <w:p>
      <w:pPr>
        <w:pStyle w:val="Heading1"/>
      </w:pPr>
      <w:r>
        <w:t>10. Что изменится при замене V2?</w:t>
      </w:r>
    </w:p>
    <w:p>
      <w:pPr>
        <w:keepNext/>
        <w:ind w:left="198" w:hanging="198"/>
      </w:pPr>
      <w:r>
        <w:t>– Остановиться на вопросе.</w:t>
      </w:r>
    </w:p>
    <w:p>
      <w:pPr>
        <w:keepNext/>
        <w:ind w:left="198" w:hanging="198"/>
      </w:pPr>
      <w:r>
        <w:t>– Обсудить, какие величины изменились: только V₂; Q, K, V₁ и маска прежние.</w:t>
      </w:r>
    </w:p>
    <w:p>
      <w:pPr>
        <w:keepNext/>
        <w:ind w:left="198" w:hanging="198"/>
      </w:pPr>
      <w:r>
        <w:t>– Попросить предсказать первый выход.</w:t>
      </w:r>
    </w:p>
    <w:p>
      <w:pPr>
        <w:keepNext w:val="0"/>
        <w:ind w:left="198" w:hanging="198"/>
      </w:pPr>
      <w:r>
        <w:t>– Ответ показывается следующим кадром.</w:t>
      </w:r>
    </w:p>
    <w:p>
      <w:pPr>
        <w:pStyle w:val="Heading1"/>
      </w:pPr>
      <w:r>
        <w:t>11. Ранний выход не изменился</w:t>
      </w:r>
    </w:p>
    <w:p>
      <w:pPr>
        <w:keepNext/>
        <w:ind w:left="198" w:hanging="198"/>
      </w:pPr>
      <w:r>
        <w:t>– Сопоставить ответ с предыдущим кадром: доступность ключей осталась прежней.</w:t>
      </w:r>
    </w:p>
    <w:p>
      <w:pPr>
        <w:keepNext/>
        <w:ind w:left="198" w:hanging="198"/>
      </w:pPr>
      <w:r>
        <w:t>– Вклад V₂′ равен нулю, поэтому o₁=V₁=(10;0).</w:t>
      </w:r>
    </w:p>
    <w:p>
      <w:pPr>
        <w:keepNext w:val="0"/>
        <w:ind w:left="198" w:hanging="198"/>
      </w:pPr>
      <w:r>
        <w:t>– Это проверка применения маски, которую затем воспроизводим в коде.</w:t>
      </w:r>
    </w:p>
    <w:p>
      <w:pPr>
        <w:pStyle w:val="Heading1"/>
      </w:pPr>
      <w:r>
        <w:t>12. Padding исключаем из ключей</w:t>
      </w:r>
    </w:p>
    <w:p>
      <w:pPr>
        <w:keepNext/>
        <w:ind w:left="198" w:hanging="198"/>
      </w:pPr>
      <w:r>
        <w:t>– Сопоставить ключ позиции текста и ключ заполнителя PAD.</w:t>
      </w:r>
    </w:p>
    <w:p>
      <w:pPr>
        <w:keepNext/>
        <w:ind w:left="198" w:hanging="198"/>
      </w:pPr>
      <w:r>
        <w:t>– Для позиции текста указано True, для заполнителя PAD — False.</w:t>
      </w:r>
    </w:p>
    <w:p>
      <w:pPr>
        <w:keepNext w:val="0"/>
        <w:ind w:left="198" w:hanging="198"/>
      </w:pPr>
      <w:r>
        <w:t>– Маска ограничивает ключи; обработка выходов padding-позиций — отдельный вопрос.</w:t>
      </w:r>
    </w:p>
    <w:p>
      <w:pPr>
        <w:pStyle w:val="Heading1"/>
      </w:pPr>
      <w:r>
        <w:t>13. Когда все ключи закрыты</w:t>
      </w:r>
    </w:p>
    <w:p>
      <w:pPr>
        <w:keepNext/>
        <w:ind w:left="198" w:hanging="198"/>
      </w:pPr>
      <w:r>
        <w:t>– Попросить восстановить знаменатель softmax.</w:t>
      </w:r>
    </w:p>
    <w:p>
      <w:pPr>
        <w:keepNext/>
        <w:ind w:left="198" w:hanging="198"/>
      </w:pPr>
      <w:r>
        <w:t>– Все экспоненты нулевые, поэтому нормировка не определена.</w:t>
      </w:r>
    </w:p>
    <w:p>
      <w:pPr>
        <w:keepNext w:val="0"/>
        <w:ind w:left="198" w:hanging="198"/>
      </w:pPr>
      <w:r>
        <w:t>– В лабораторной такой вход вызывает ValueError.</w:t>
      </w:r>
    </w:p>
    <w:p>
      <w:pPr>
        <w:pStyle w:val="Heading1"/>
      </w:pPr>
      <w:r>
        <w:t>14. Перестановка входа и выхода</w:t>
      </w:r>
    </w:p>
    <w:p>
      <w:pPr>
        <w:keepNext/>
        <w:ind w:left="198" w:hanging="198"/>
      </w:pPr>
      <w:r>
        <w:t>– Сопоставить две части равенства: перестановку входных строк и ту же перестановку выходных.</w:t>
      </w:r>
    </w:p>
    <w:p>
      <w:pPr>
        <w:keepNext/>
        <w:ind w:left="198" w:hanging="198"/>
      </w:pPr>
      <w:r>
        <w:t>– Маски и позиции отсутствуют.</w:t>
      </w:r>
    </w:p>
    <w:p>
      <w:pPr>
        <w:keepNext w:val="0"/>
        <w:ind w:left="198" w:hanging="198"/>
      </w:pPr>
      <w:r>
        <w:t>– После одинаковой перестановки строк выходы меняют порядок таким же образом.</w:t>
      </w:r>
    </w:p>
    <w:p>
      <w:pPr>
        <w:pStyle w:val="Heading1"/>
      </w:pPr>
      <w:r>
        <w:t>15. Позиции остаются на местах</w:t>
      </w:r>
    </w:p>
    <w:p>
      <w:pPr>
        <w:keepNext/>
        <w:ind w:left="198" w:hanging="198"/>
      </w:pPr>
      <w:r>
        <w:t>– Сравнить перемещение содержимого и фиксированные позиционные значения.</w:t>
      </w:r>
    </w:p>
    <w:p>
      <w:pPr>
        <w:keepNext/>
        <w:ind w:left="198" w:hanging="198"/>
      </w:pPr>
      <w:r>
        <w:t>– X меняется по порядку, P сохраняется по местам.</w:t>
      </w:r>
    </w:p>
    <w:p>
      <w:pPr>
        <w:keepNext w:val="0"/>
        <w:ind w:left="198" w:hanging="198"/>
      </w:pPr>
      <w:r>
        <w:t>– Это уже другое изменение входа, чем перестановка X+P целиком.</w:t>
      </w:r>
    </w:p>
    <w:p>
      <w:pPr>
        <w:pStyle w:val="Heading1"/>
      </w:pPr>
      <w:r>
        <w:t>16. У каждой головы свои проекции</w:t>
      </w:r>
    </w:p>
    <w:p>
      <w:pPr>
        <w:keepNext/>
        <w:ind w:left="198" w:hanging="198"/>
      </w:pPr>
      <w:r>
        <w:t>– Объяснить параллельные обучаемые преобразования.</w:t>
      </w:r>
    </w:p>
    <w:p>
      <w:pPr>
        <w:keepNext/>
        <w:ind w:left="198" w:hanging="198"/>
      </w:pPr>
      <w:r>
        <w:t>– Каждая голова получает общий X, но строит собственные Q/K/V и веса.</w:t>
      </w:r>
    </w:p>
    <w:p>
      <w:pPr>
        <w:keepNext w:val="0"/>
        <w:ind w:left="198" w:hanging="198"/>
      </w:pPr>
      <w:r>
        <w:t>– Предметные роли голов заранее не назначаются.</w:t>
      </w:r>
    </w:p>
    <w:p>
      <w:pPr>
        <w:pStyle w:val="Heading1"/>
      </w:pPr>
      <w:r>
        <w:t>17. Соединяем результаты голов</w:t>
      </w:r>
    </w:p>
    <w:p>
      <w:pPr>
        <w:keepNext/>
        <w:ind w:left="198" w:hanging="198"/>
      </w:pPr>
      <w:r>
        <w:t>– Проследить, что координаты выходов голов записываются одна за другой, а не усредняются.</w:t>
      </w:r>
    </w:p>
    <w:p>
      <w:pPr>
        <w:keepNext/>
        <w:ind w:left="198" w:hanging="198"/>
      </w:pPr>
      <w:r>
        <w:t>– Для устного примера возьмём три головы по две координаты: получится шесть координат одной позиции.</w:t>
      </w:r>
    </w:p>
    <w:p>
      <w:pPr>
        <w:keepNext w:val="0"/>
        <w:ind w:left="198" w:hanging="198"/>
      </w:pPr>
      <w:r>
        <w:t>– W_O возвращает нужную ширину.</w:t>
      </w:r>
    </w:p>
    <w:p>
      <w:pPr>
        <w:pStyle w:val="Heading1"/>
      </w:pPr>
      <w:r>
        <w:t>18. Внутри блока Transformer</w:t>
      </w:r>
    </w:p>
    <w:p>
      <w:pPr>
        <w:keepNext/>
        <w:ind w:left="198" w:hanging="198"/>
      </w:pPr>
      <w:r>
        <w:t>– Найти слагаемые X и H: они сохраняют вход соответствующего подблока.</w:t>
      </w:r>
    </w:p>
    <w:p>
      <w:pPr>
        <w:keepNext/>
        <w:ind w:left="198" w:hanging="198"/>
      </w:pPr>
      <w:r>
        <w:t>– Здесь pre-norm: LayerNorm перед attention и FFN.</w:t>
      </w:r>
    </w:p>
    <w:p>
      <w:pPr>
        <w:keepNext w:val="0"/>
        <w:ind w:left="198" w:hanging="198"/>
      </w:pPr>
      <w:r>
        <w:t>– Attention включает выходную проекцию, поэтому размерность совместима с X.</w:t>
      </w:r>
    </w:p>
    <w:p>
      <w:pPr>
        <w:pStyle w:val="Heading1"/>
      </w:pPr>
      <w:r>
        <w:t>19. Разная доступность контекста</w:t>
      </w:r>
    </w:p>
    <w:p>
      <w:pPr>
        <w:keepNext/>
        <w:ind w:left="198" w:hanging="198"/>
      </w:pPr>
      <w:r>
        <w:t>– Это схемы доступности, не численные веса.</w:t>
      </w:r>
    </w:p>
    <w:p>
      <w:pPr>
        <w:keepNext/>
        <w:ind w:left="198" w:hanging="198"/>
      </w:pPr>
      <w:r>
        <w:t>– Энкодер может обращаться к левому и правому окружению; причинный декодер использует префикс.</w:t>
      </w:r>
    </w:p>
    <w:p>
      <w:pPr>
        <w:keepNext w:val="0"/>
        <w:ind w:left="198" w:hanging="198"/>
      </w:pPr>
      <w:r>
        <w:t>– В обоих случаях padding закрывается отдельно.</w:t>
      </w:r>
    </w:p>
    <w:p>
      <w:pPr>
        <w:pStyle w:val="Heading1"/>
      </w:pPr>
      <w:r>
        <w:t>20. Cross-attention связывает два ряда</w:t>
      </w:r>
    </w:p>
    <w:p>
      <w:pPr>
        <w:keepNext/>
        <w:ind w:left="198" w:hanging="198"/>
      </w:pPr>
      <w:r>
        <w:t>– Различить происхождение Q и K/V.</w:t>
      </w:r>
    </w:p>
    <w:p>
      <w:pPr>
        <w:keepNext/>
        <w:ind w:left="198" w:hanging="198"/>
      </w:pPr>
      <w:r>
        <w:t>– Энкодер обрабатывает исходную последовательность.</w:t>
      </w:r>
    </w:p>
    <w:p>
      <w:pPr>
        <w:keepNext w:val="0"/>
        <w:ind w:left="198" w:hanging="198"/>
      </w:pPr>
      <w:r>
        <w:t>– Декодер формирует запрос по своему состоянию и обращается к представлениям источника.</w:t>
      </w:r>
    </w:p>
    <w:p>
      <w:pPr>
        <w:pStyle w:val="Heading1"/>
      </w:pPr>
      <w:r>
        <w:t>21. Квадратичный рост</w:t>
      </w:r>
    </w:p>
    <w:p>
      <w:pPr>
        <w:keepNext w:val="0"/>
        <w:ind w:left="198" w:hanging="198"/>
      </w:pPr>
      <w:r>
        <w:t>– Сопоставить увеличение стороны в четыре раза с ростом площади в шестнадцать. 4/64 MiB относятся к одной полной матрице float32; весь расход реализации может отличаться.</w:t>
      </w:r>
    </w:p>
    <w:p>
      <w:pPr>
        <w:pStyle w:val="Heading1"/>
      </w:pPr>
      <w:r>
        <w:t>22. Разные веса — тот же выход</w:t>
      </w:r>
    </w:p>
    <w:p>
      <w:pPr>
        <w:keepNext/>
        <w:ind w:left="198" w:hanging="198"/>
      </w:pPr>
      <w:r>
        <w:t>– Два набора нормированных весов смешивают одинаковые значения.</w:t>
      </w:r>
    </w:p>
    <w:p>
      <w:pPr>
        <w:keepNext/>
        <w:ind w:left="198" w:hanging="198"/>
      </w:pPr>
      <w:r>
        <w:t>– Оба дают (1;2).</w:t>
      </w:r>
    </w:p>
    <w:p>
      <w:pPr>
        <w:keepNext w:val="0"/>
        <w:ind w:left="198" w:hanging="198"/>
      </w:pPr>
      <w:r>
        <w:t>– Поэтому карта A не определяет содержательную важность без V и дальнейшего вычисления.</w:t>
      </w:r>
    </w:p>
    <w:p>
      <w:pPr>
        <w:pStyle w:val="Heading1"/>
      </w:pPr>
      <w:r>
        <w:t>23. Что проверить в реализации</w:t>
      </w:r>
    </w:p>
    <w:p>
      <w:pPr>
        <w:keepNext/>
        <w:ind w:left="198" w:hanging="198"/>
      </w:pPr>
      <w:r>
        <w:t>– Связать каждую проверку с разобранной операцией: строковая нормировка, запрет ключа и изменение будущего значения.</w:t>
      </w:r>
    </w:p>
    <w:p>
      <w:pPr>
        <w:keepNext w:val="0"/>
        <w:ind w:left="198" w:hanging="198"/>
      </w:pPr>
      <w:r>
        <w:t>– Студенты должны объяснить ожидаемый результат до выполнения кода.</w:t>
      </w:r>
    </w:p>
    <w:p>
      <w:pPr>
        <w:pStyle w:val="Heading1"/>
      </w:pPr>
      <w:r>
        <w:t>24. От ручных матриц к модели</w:t>
      </w:r>
    </w:p>
    <w:p>
      <w:pPr>
        <w:keepNext/>
        <w:ind w:left="198" w:hanging="198"/>
      </w:pPr>
      <w:r>
        <w:t>– Завершить вопросом о происхождении проекций.</w:t>
      </w:r>
    </w:p>
    <w:p>
      <w:pPr>
        <w:keepNext/>
        <w:ind w:left="198" w:hanging="198"/>
      </w:pPr>
      <w:r>
        <w:t>– Сегодня числа были заданы вручную; в предобученном энкодере параметры уже получены на данных.</w:t>
      </w:r>
    </w:p>
    <w:p>
      <w:pPr>
        <w:keepNext w:val="0"/>
        <w:ind w:left="198" w:hanging="198"/>
      </w:pPr>
      <w:r>
        <w:t>– Механизм внимания остаётся тем же.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