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«Предобученный энкодер в прикладной задаче»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Совместный разбор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Перенос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Архитектура, веса, MLM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Восстановление внутри текста и доли выбранных целей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Вход и выход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Токенизатор, пакет, CLS, pooling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B×L×312 и ручное маскированное среднее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Обучение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Фиксированные признаки и fine-tuning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Что меняют eval, заморозка и inference_mode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Задачи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Классификация и NER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BIO, подтокены и точные границы имени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Проверка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TF-IDF, энкодер, ошибки, длина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Recall поступления и исчезнувший конец длинного входа</w:t>
            </w:r>
          </w:p>
        </w:tc>
      </w:tr>
    </w:tbl>
    <w:p>
      <w:pPr>
        <w:spacing w:after="0"/>
      </w:pPr>
    </w:p>
    <w:p>
      <w:r>
        <w:t>Ориентир на 90 минут: 18 минут на перенос, 23 на вход и pooling, 18 на режимы и код, 14 на NER и 17 на сравнение и диагностику. Время включает разборы с аудиторией.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