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Связь презентации и лекции</w:t>
      </w:r>
    </w:p>
    <w:p>
      <w:r>
        <w:t>Предобученный энкодер</w:t>
      </w:r>
    </w:p>
    <w:p>
      <w:pPr>
        <w:pStyle w:val="Heading1"/>
      </w:pPr>
      <w:r>
        <w:t>Слайд 01. Предобученный энкодер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L06-01</w:t>
      </w:r>
      <w:r>
        <w:t>.</w:t>
      </w:r>
    </w:p>
    <w:p>
      <w:r>
        <w:t>На второй лекции классификатор учился по словам нашего небольшого корпуса. На пятой мы задавали матрицы attention вручную и прослеживали вычисления. Теперь возьмём энкодер, параметры которого уже получены при обучении на других текстах. Он преобразует обращение в контекстные векторы, а мы научимся использовать их для знакомой задачи выбора отдела.</w:t>
      </w:r>
    </w:p>
    <w:p>
      <w:pPr>
        <w:pStyle w:val="Heading1"/>
      </w:pPr>
      <w:r>
        <w:t>Слайд 02. Архитектура, веса и наша задача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L06-02</w:t>
      </w:r>
      <w:r>
        <w:t>.</w:t>
      </w:r>
    </w:p>
    <w:p>
      <w:r>
        <w:t>Здесь полезно различать архитектуру, веса и прикладную систему. Архитектура описывает, какие вычисления выполняются. Веса задают конкретные обученные преобразования. Прикладная система определяет, как подать текст, какой выход взять и как связать его с шестью категориями университета «Север».</w:t>
      </w:r>
    </w:p>
    <w:p>
      <w:pPr>
        <w:pStyle w:val="Heading1"/>
      </w:pPr>
      <w:r>
        <w:t>Слайд 03. Восстановление видит обе стороны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L06-03</w:t>
      </w:r>
      <w:r>
        <w:t>.</w:t>
      </w:r>
    </w:p>
    <w:p>
      <w:r>
        <w:t>В предложении «Студент положил книгу в сумку, чтобы нести её домой» скроем «сумку». Получится задание с пропуском внутри текста. Левое окружение говорит о помещении книги во что-то, правое — о переноске. Энкодер может использовать обе стороны, чтобы восстановить выбранный токен.</w:t>
      </w:r>
    </w:p>
    <w:p>
      <w:pPr>
        <w:pStyle w:val="Heading1"/>
      </w:pPr>
      <w:r>
        <w:t>Слайд 04. Выбранные цели не все скрыты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L06-04</w:t>
      </w:r>
      <w:r>
        <w:t>.</w:t>
      </w:r>
    </w:p>
    <w:p>
      <w:r>
        <w:t>В исходном BERT выбирали 15% токенов как цели. Из выбранных 80% заменяли на [MASK], 10% — случайным токеном, 10% оставляли без изменения. Эти доли относятся к разным множествам. Для условных 1000 токенов выбирается около 150 целей, из них примерно 120 скрываются, 15 заменяются и 15 остаются прежними. Это иллюстрация ожидаемых пропорций, а не точные количества в каждом маленьком пакете.</w:t>
      </w:r>
    </w:p>
    <w:p>
      <w:pPr>
        <w:pStyle w:val="Heading1"/>
      </w:pPr>
      <w:r>
        <w:t>Слайд 05. Три разные роли маски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L06-05</w:t>
      </w:r>
      <w:r>
        <w:t>.</w:t>
      </w:r>
    </w:p>
    <w:p>
      <w:r>
        <w:t>Слово «маска» здесь легко перепутать с пятой лекцией. [MASK] — токен, которым заменили содержимое. Padding-маска указывает, какие ключи относятся к техническому дополнению. Causal-маска запрещает будущие позиции. У них разные роли, хотя в разговоре используется одно слово.</w:t>
      </w:r>
    </w:p>
    <w:p>
      <w:pPr>
        <w:pStyle w:val="Heading1"/>
      </w:pPr>
      <w:r>
        <w:t>Слайд 06. Токены принадлежат этой модели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L06-06</w:t>
      </w:r>
      <w:r>
        <w:t>.</w:t>
      </w:r>
    </w:p>
    <w:p>
      <w:r>
        <w:t>На первой лекции один адрес мог стать пятью токенами при выбранном регулярном выражении. У предобученного энкодера также есть собственные правила и словарь. Их нужно использовать вместе с моделью: идентификатор токена указывает на конкретную строку таблицы эмбеддингов.</w:t>
      </w:r>
    </w:p>
    <w:p>
      <w:pPr>
        <w:pStyle w:val="Heading1"/>
      </w:pPr>
      <w:r>
        <w:t>Слайд 07. Padding выравнивает пакет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L06-07</w:t>
      </w:r>
      <w:r>
        <w:t>.</w:t>
      </w:r>
    </w:p>
    <w:p>
      <w:r>
        <w:t xml:space="preserve">Чтобы подать несколько текстов одним пакетом, строки дополняются до общей длины. </w:t>
      </w:r>
      <w:r>
        <w:rPr>
          <w:rFonts w:ascii="Courier New" w:hAnsi="Courier New"/>
          <w:sz w:val="21"/>
        </w:rPr>
        <w:t>input_ids</w:t>
      </w:r>
      <w:r>
        <w:t xml:space="preserve"> содержит идентификаторы, </w:t>
      </w:r>
      <w:r>
        <w:rPr>
          <w:rFonts w:ascii="Courier New" w:hAnsi="Courier New"/>
          <w:sz w:val="21"/>
        </w:rPr>
        <w:t>attention_mask</w:t>
      </w:r>
      <w:r>
        <w:t xml:space="preserve"> — указание содержательных и технических позиций в ожидаемом моделью формате. Если в пакете B текстов длины L после дополнения, обе таблицы имеют форму B×L. Для двух выбранных строк B=2 и L=6: у вопроса шесть единиц в маске, у «Спасибо» — три единицы и три нуля.</w:t>
      </w:r>
    </w:p>
    <w:p>
      <w:pPr>
        <w:pStyle w:val="Heading1"/>
      </w:pPr>
      <w:r>
        <w:t>Слайд 08. Вектор для каждой позиции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L06-08</w:t>
      </w:r>
      <w:r>
        <w:t>.</w:t>
      </w:r>
    </w:p>
    <w:p>
      <w:r>
        <w:t xml:space="preserve">Энкодер возвращает </w:t>
      </w:r>
      <w:r>
        <w:rPr>
          <w:rFonts w:ascii="Courier New" w:hAnsi="Courier New"/>
          <w:sz w:val="21"/>
        </w:rPr>
        <w:t>last_hidden_state</w:t>
      </w:r>
      <w:r>
        <w:t xml:space="preserve"> формы B×L×312. Для каждого текста и каждой позиции есть вектор из 312 координат. Для классификатора обращений нужен один вектор на текст, поэтому требуется выбрать способ объединения позиций — pooling.</w:t>
      </w:r>
    </w:p>
    <w:p>
      <w:pPr>
        <w:pStyle w:val="Heading1"/>
      </w:pPr>
      <w:r>
        <w:t>Слайд 09. CLS выбирается у всех текстов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L06-09</w:t>
      </w:r>
      <w:r>
        <w:t>.</w:t>
      </w:r>
    </w:p>
    <w:p>
      <w:r>
        <w:t xml:space="preserve">В нашем опыте используется нормированный CLS, как рекомендует автор модели. Запись </w:t>
      </w:r>
      <w:r>
        <w:rPr>
          <w:rFonts w:ascii="Courier New" w:hAnsi="Courier New"/>
          <w:sz w:val="21"/>
        </w:rPr>
        <w:t>hidden[:, 0, :]</w:t>
      </w:r>
      <w:r>
        <w:t xml:space="preserve"> выбирает первую позицию у всех B текстов и даёт B×312. После L2-нормировки каждая ненулевая строка имеет единичную длину. Нормируем по оси признаков, чтобы соседние тексты пакета не участвовали в знаменателе.</w:t>
      </w:r>
    </w:p>
    <w:p>
      <w:pPr>
        <w:pStyle w:val="Heading1"/>
      </w:pPr>
      <w:r>
        <w:t>Слайд 10. Padding попадает в среднее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L06-10</w:t>
      </w:r>
      <w:r>
        <w:t>.</w:t>
      </w:r>
    </w:p>
    <w:p>
      <w:r>
        <w:t xml:space="preserve">У других моделей может быть рекомендовано усреднение токенов. Рассмотрим его отдельно на маленьком примере: H=((1;0), (0;1), (9;9)), маска m=(1;1;0). Первые две позиции содержательные, третья обозначает padding. </w:t>
      </w:r>
    </w:p>
    <w:p>
      <w:pPr>
        <w:pStyle w:val="Heading1"/>
      </w:pPr>
      <w:r>
        <w:t>Слайд 11. Маска выбирает слагаемые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L06-11</w:t>
      </w:r>
      <w:r>
        <w:t>.</w:t>
      </w:r>
    </w:p>
    <w:p>
      <w:r>
        <w:t>Обычное среднее всех трёх равно (10/3;10/3), а среднее выбранных маской — (0,5;0,5).</w:t>
      </w:r>
    </w:p>
    <w:p>
      <w:pPr>
        <w:pStyle w:val="Heading1"/>
      </w:pPr>
      <w:r>
        <w:t>Слайд 12. Что меняется при дообучении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L06-12</w:t>
      </w:r>
      <w:r>
        <w:t>.</w:t>
      </w:r>
    </w:p>
    <w:p>
      <w:r>
        <w:t>Самый прямой вариант переноса — оставить энкодер фиксированным и обучить новую модель на его выходах. Мы получим векторы train и подадим их логистической регрессии вместе с шестью метками. Меняться будут коэффициенты классификатора, а преобразование текста внутри энкодера останется прежним.</w:t>
      </w:r>
    </w:p>
    <w:p>
      <w:pPr>
        <w:pStyle w:val="Heading1"/>
      </w:pPr>
      <w:r>
        <w:t>Слайд 13. Три настройки решают разное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L06-13</w:t>
      </w:r>
      <w:r>
        <w:t>.</w:t>
      </w:r>
    </w:p>
    <w:p>
      <w:r>
        <w:t xml:space="preserve">В коде встречаются три похожих на первый взгляд действия. </w:t>
      </w:r>
      <w:r>
        <w:rPr>
          <w:rFonts w:ascii="Courier New" w:hAnsi="Courier New"/>
          <w:sz w:val="21"/>
        </w:rPr>
        <w:t>eval()</w:t>
      </w:r>
      <w:r>
        <w:t xml:space="preserve"> переключает поведение модулей, например отключает случайное выбрасывание признаков в dropout. </w:t>
      </w:r>
      <w:r>
        <w:rPr>
          <w:rFonts w:ascii="Courier New" w:hAnsi="Courier New"/>
          <w:sz w:val="21"/>
        </w:rPr>
        <w:t>requires_grad_(False)</w:t>
      </w:r>
      <w:r>
        <w:t xml:space="preserve"> задаёт, что для соответствующих параметров не нужен градиент. </w:t>
      </w:r>
      <w:r>
        <w:rPr>
          <w:rFonts w:ascii="Courier New" w:hAnsi="Courier New"/>
          <w:sz w:val="21"/>
        </w:rPr>
        <w:t>inference_mode()</w:t>
      </w:r>
      <w:r>
        <w:t xml:space="preserve"> выполняет проход без обычного построения графа autograd.</w:t>
      </w:r>
    </w:p>
    <w:p>
      <w:pPr>
        <w:pStyle w:val="Heading1"/>
      </w:pPr>
      <w:r>
        <w:t>Слайд 14. От пакета к признакам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L06-14</w:t>
      </w:r>
      <w:r>
        <w:t>.</w:t>
      </w:r>
    </w:p>
    <w:p>
      <w:r>
        <w:t xml:space="preserve">Рассмотрим один проход от списка строк к признакам. Токенизатор и энкодер уже загружены вместе. Переменная </w:t>
      </w:r>
      <w:r>
        <w:rPr>
          <w:rFonts w:ascii="Courier New" w:hAnsi="Courier New"/>
          <w:sz w:val="21"/>
        </w:rPr>
        <w:t>texts</w:t>
      </w:r>
      <w:r>
        <w:t xml:space="preserve"> содержит пакет обращений.</w:t>
      </w:r>
    </w:p>
    <w:p>
      <w:pPr>
        <w:pStyle w:val="Heading1"/>
      </w:pPr>
      <w:r>
        <w:t>Слайд 15. Индекс меняет форму результата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L06-15</w:t>
      </w:r>
      <w:r>
        <w:t>.</w:t>
      </w:r>
    </w:p>
    <w:p>
      <w:r>
        <w:t xml:space="preserve">Если случайно написать </w:t>
      </w:r>
      <w:r>
        <w:rPr>
          <w:rFonts w:ascii="Courier New" w:hAnsi="Courier New"/>
          <w:sz w:val="21"/>
        </w:rPr>
        <w:t>hidden[0, 0, :]</w:t>
      </w:r>
      <w:r>
        <w:t>, пропадёт весь второй текст: получится только 312 чисел первого.</w:t>
      </w:r>
    </w:p>
    <w:p>
      <w:pPr>
        <w:pStyle w:val="Heading1"/>
      </w:pPr>
      <w:r>
        <w:t>Слайд 16. NER: границы и типы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L06-16</w:t>
      </w:r>
      <w:r>
        <w:t>.</w:t>
      </w:r>
    </w:p>
    <w:p>
      <w:r>
        <w:t>Теперь изменим форму результата. Вместо одной темы сообщения нужно выделить имена и организации. Эта задача называется named entity recognition, NER. Один документный вектор уже не даёт прямого соответствия границам слов, поэтому здесь используются представления позиций и сведения об их связи с исходным текстом.</w:t>
      </w:r>
    </w:p>
    <w:p>
      <w:pPr>
        <w:pStyle w:val="Heading1"/>
      </w:pPr>
      <w:r>
        <w:t>Слайд 17. Граница имени тоже часть ответа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L06-17</w:t>
      </w:r>
      <w:r>
        <w:t>.</w:t>
      </w:r>
    </w:p>
    <w:p>
      <w:r>
        <w:t>Допустим, эталон — «Анна Петрова», а система вернула только «Петрова» с типом PER. При строгой оценке границы не совпали. Получается один лишний предсказанный фрагмент и один пропущенный эталон. Высокая доля правильно размеченных O в остальном тексте не исправляет эту ошибку выделения.</w:t>
      </w:r>
    </w:p>
    <w:p>
      <w:pPr>
        <w:pStyle w:val="Heading1"/>
      </w:pPr>
      <w:r>
        <w:t>Слайд 18. От слова к подтокенам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L06-18</w:t>
      </w:r>
      <w:r>
        <w:t>.</w:t>
      </w:r>
    </w:p>
    <w:p>
      <w:r>
        <w:t>Слово может разбиться на несколько токенов модели. Тогда метки исходных слов нельзя просто прикрепить к выходам по порядку: после первого разбиения соответствие сдвинется. Один из подходов — обучать метку только на первом подтокене слова, а остальные исключать из потери. Другой распределяет метки по всем частям с согласованным правилом BIO.</w:t>
      </w:r>
    </w:p>
    <w:p>
      <w:pPr>
        <w:pStyle w:val="Heading1"/>
      </w:pPr>
      <w:r>
        <w:t>Слайд 19. Качество на тесте выросло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L06-19</w:t>
      </w:r>
      <w:r>
        <w:t>.</w:t>
      </w:r>
    </w:p>
    <w:p>
      <w:r>
        <w:t>Сравним две заранее заданные системы. Первая — char_wb TF-IDF с фрагментами 3–5 и логистической регрессией. Вторая — нормированный CLS rubert-tiny2 и такая же регрессия с C=1. Разделение данных, шесть меток и функции оценки одинаковы. Энкодер фиксирован, новые коэффициенты классификатора обучаются только по train.</w:t>
      </w:r>
    </w:p>
    <w:p>
      <w:pPr>
        <w:pStyle w:val="Heading1"/>
      </w:pPr>
      <w:r>
        <w:t>Слайд 20. Recall поступления — 0,40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L06-20</w:t>
      </w:r>
      <w:r>
        <w:t>.</w:t>
      </w:r>
    </w:p>
    <w:p>
      <w:r>
        <w:t>В показанных вариантах система на основе TF-IDF ошиблась в классификации обращений о монографии и подборе источников для курсовой, а система с энкодером определила их категории правильно. Однако у класса поступления recall равен только 0,40: двенадцать из двадцати его строк ушли в другие категории. Общая accuracy 0,90 этого не показывает.</w:t>
      </w:r>
    </w:p>
    <w:p>
      <w:pPr>
        <w:pStyle w:val="Heading1"/>
      </w:pPr>
      <w:r>
        <w:t>Слайд 21. Короткие тексты не усечены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L06-21</w:t>
      </w:r>
      <w:r>
        <w:t>.</w:t>
      </w:r>
    </w:p>
    <w:p>
      <w:r>
        <w:t>В основном корпусе полные длины со специальными токенами лежат между 8 и 21. При пределе 128 ни одно обращение не усечено. Поэтому объяснять ошибки основной классификации потерянным концом здесь нельзя.</w:t>
      </w:r>
    </w:p>
    <w:p>
      <w:pPr>
        <w:pStyle w:val="Heading1"/>
      </w:pPr>
      <w:r>
        <w:t>Слайд 22. Усечение убрало просьбу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L06-22</w:t>
      </w:r>
      <w:r>
        <w:t>.</w:t>
      </w:r>
    </w:p>
    <w:p>
      <w:r>
        <w:t xml:space="preserve">Построим отдельный диагностический текст: восемьдесят раз повторим строку </w:t>
      </w:r>
      <w:r>
        <w:rPr>
          <w:rFonts w:ascii="Courier New" w:hAnsi="Courier New"/>
          <w:sz w:val="21"/>
        </w:rPr>
        <w:t>"Уточняю ранее отправленный вопрос. "</w:t>
      </w:r>
      <w:r>
        <w:t xml:space="preserve">, а в конце добавим </w:t>
      </w:r>
      <w:r>
        <w:rPr>
          <w:rFonts w:ascii="Courier New" w:hAnsi="Courier New"/>
          <w:sz w:val="21"/>
        </w:rPr>
        <w:t>"Как продлить книгу?"</w:t>
      </w:r>
      <w:r>
        <w:t>. Точка и пробел входят в повторяемую строку. Полная длина получилась 566 токенов. После усечения осталось 128, и просьба о книге исчезла. Декодируем сохранённый вход, чтобы увидеть это непосредственно.</w:t>
      </w:r>
    </w:p>
    <w:p>
      <w:pPr>
        <w:pStyle w:val="Heading1"/>
      </w:pPr>
      <w:r>
        <w:t>Слайд 23. Найдём причину ошибки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L06-23</w:t>
      </w:r>
      <w:r>
        <w:t>.</w:t>
      </w:r>
    </w:p>
    <w:p>
      <w:r>
        <w:t>Есть и другой недостаток входа: сообщение само по себе неоднозначно. Вопрос «Можно ли отправить пакет документов по почте?» отнесён к категории поступления в задуманной автором ситуации, но сама фраза может относиться к разным процедурам. В показанном варианте с приветствием энкодер выбрал библиотеку. Это расхождение с меткой одновременно поднимает вопрос о достаточности контекста.</w:t>
      </w:r>
    </w:p>
    <w:p>
      <w:pPr>
        <w:pStyle w:val="Heading1"/>
      </w:pPr>
      <w:r>
        <w:t>Слайд 24. От токенов к прикладному ответу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L06-S10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L06-24</w:t>
      </w:r>
      <w:r>
        <w:t>.</w:t>
      </w:r>
    </w:p>
    <w:p>
      <w:r>
        <w:t>Теперь путь обращения выглядит так: текст проходит через связанный с моделью токенизатор, энкодер возвращает представления позиций, выбранный pooling даёт один вектор, обученная голова выбирает отдел. Мы можем указать, какие параметры взяты из предобучения и какие получены на нашем train.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