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Связь презентации и лекции</w:t>
      </w:r>
    </w:p>
    <w:p>
      <w:r>
        <w:t>Инструкции и ответы LLM</w:t>
      </w:r>
    </w:p>
    <w:p>
      <w:pPr>
        <w:pStyle w:val="Heading1"/>
      </w:pPr>
      <w:r>
        <w:t>Слайд 01. Инструкции и ответы LLM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L07-S01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L07-01</w:t>
      </w:r>
      <w:r>
        <w:t>.</w:t>
      </w:r>
    </w:p>
    <w:p>
      <w:r>
        <w:t>Студент спрашивает, можно ли продлить книгу, которую уже забронировал другой читатель. Модель отвечает коротко и уверенно: «Можно». Такой ответ легко прочитать, но пока неизвестно, верен ли он. В документе нашей учебной библиотеки сказано обратное: бронь другого читателя делает продление недоступным.</w:t>
      </w:r>
    </w:p>
    <w:p>
      <w:pPr>
        <w:pStyle w:val="Heading1"/>
      </w:pPr>
      <w:r>
        <w:t>Слайд 02. Один документ, три проверки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L07-S01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L07-02</w:t>
      </w:r>
      <w:r>
        <w:t>.</w:t>
      </w:r>
    </w:p>
    <w:p>
      <w:r>
        <w:t>Возьмём один документ D03. Он разрешает продление на 14 дней через кабинет читателя, но запрещает его при чужой брони. Число продлений за семестр в документе не задано. По этим сведениям можно составить три разных проверки: срок, исключение и вопрос без нужного факта.</w:t>
      </w:r>
    </w:p>
    <w:p>
      <w:pPr>
        <w:pStyle w:val="Heading1"/>
      </w:pPr>
      <w:r>
        <w:t>Слайд 03. Обучающие сигналы различаются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L07-S02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L07-03</w:t>
      </w:r>
      <w:r>
        <w:t>.</w:t>
      </w:r>
    </w:p>
    <w:p>
      <w:r>
        <w:t>При авторегрессионном предобучении модель учится продолжать тексты. Она получает префикс и повышает вероятность следующих токенов из обучающего материала. Это помогает освоить закономерности языка и содержание данных, но задача сама по себе не требует отвечать пользователю в нужном формате.</w:t>
      </w:r>
    </w:p>
    <w:p>
      <w:pPr>
        <w:pStyle w:val="Heading1"/>
      </w:pPr>
      <w:r>
        <w:t>Слайд 04. Что именно требуется от ответа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L07-S03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L07-04</w:t>
      </w:r>
      <w:r>
        <w:t>.</w:t>
      </w:r>
    </w:p>
    <w:p>
      <w:r>
        <w:t>Запрос «Помоги студенту с библиотекой» оставляет много свободы. Неясно, какой вопрос нужно решить, разрешено ли добавлять общие советы, нужна ли короткая фраза и что делать, если сведений нет. Для свободной беседы такая постановка может подойти, но сравнить результаты по ней трудно.</w:t>
      </w:r>
    </w:p>
    <w:p>
      <w:pPr>
        <w:pStyle w:val="Heading1"/>
      </w:pPr>
      <w:r>
        <w:t>Слайд 05. Две инструкции, один источник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L07-S03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L07-05</w:t>
      </w:r>
      <w:r>
        <w:t>.</w:t>
      </w:r>
    </w:p>
    <w:p>
      <w:r>
        <w:t>При сравнении оставим сам документ и вопросы одинаковыми. Если вместе с уточнённой инструкцией добавить новый источник, разницу ответа уже нельзя связать только с инструкцией. Это тот же принцип контролируемого изменения, который применялся при сравнении словных и символьных признаков.</w:t>
      </w:r>
    </w:p>
    <w:p>
      <w:pPr>
        <w:pStyle w:val="Heading1"/>
      </w:pPr>
      <w:r>
        <w:t>Слайд 06. Пример добавляется в контекст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L07-06</w:t>
      </w:r>
      <w:r>
        <w:t>.</w:t>
      </w:r>
    </w:p>
    <w:p>
      <w:r>
        <w:t>В zero-shot постановке мы даём инструкцию без решённых примеров текущей задачи. В few-shot добавляем несколько пар «вход — нужный выход». Например, один пример показывает, как кратко вернуть факт из документа, второй — как ответить при его отсутствии.</w:t>
      </w:r>
    </w:p>
    <w:p>
      <w:pPr>
        <w:pStyle w:val="Heading1"/>
      </w:pPr>
      <w:r>
        <w:t>Слайд 07. Few-shot не обновляет веса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L07-07</w:t>
      </w:r>
      <w:r>
        <w:t>.</w:t>
      </w:r>
    </w:p>
    <w:p>
      <w:r>
        <w:t>Параметры от этих демонстраций не обновляются. Модель читает их как часть текущего контекста. Если в следующем независимом вызове примеров нет, приложение не может рассчитывать, что они стали постоянным знанием весов. История чата тоже передаётся приложением, а не возникает внутри отдельного запроса сама собой.</w:t>
      </w:r>
    </w:p>
    <w:p>
      <w:pPr>
        <w:pStyle w:val="Heading1"/>
      </w:pPr>
      <w:r>
        <w:t>Слайд 08. Масштабирование оценок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L07-S05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L07-08</w:t>
      </w:r>
      <w:r>
        <w:t>.</w:t>
      </w:r>
    </w:p>
    <w:p>
      <w:r>
        <w:t>Пусть модель уже вычислила оценки следующего токена z. Для выборки можно разделить их на положительную температуру T, а затем применить softmax: pᵢ=exp(zᵢ/T)/Σⱼexp(zⱼ/T). Это изменение распределения выбора, а не переобучение модели.</w:t>
      </w:r>
    </w:p>
    <w:p>
      <w:pPr>
        <w:pStyle w:val="Heading1"/>
      </w:pPr>
      <w:r>
        <w:t>Слайд 09. Три значения temperature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L07-S05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L07-09</w:t>
      </w:r>
      <w:r>
        <w:t>.</w:t>
      </w:r>
    </w:p>
    <w:p>
      <w:r>
        <w:t>Посчитаем три оценки (2;1;0). При T=1 вероятности примерно (0,6652;0,2447;0,0900). При T=0,5 различия оценок усиливаются: получается (0,8668;0,1173;0,0159). При T=2 распределение более ровное: (0,5065;0,3072;0,1863).</w:t>
      </w:r>
    </w:p>
    <w:p>
      <w:pPr>
        <w:pStyle w:val="Heading1"/>
      </w:pPr>
      <w:r>
        <w:t>Слайд 10. Уверенность и достоверность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L07-S05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L07-10</w:t>
      </w:r>
      <w:r>
        <w:t>.</w:t>
      </w:r>
    </w:p>
    <w:p>
      <w:r>
        <w:t>Greedy в нашем коде задаётся выбором максимума и отключённой выборкой. Мы не делим оценки на T=0: это не определённая математическая операция. При фиксированных оценках greedy вообще не нуждается в вероятностной выборке из оставшихся альтернатив.</w:t>
      </w:r>
    </w:p>
    <w:p>
      <w:pPr>
        <w:pStyle w:val="Heading1"/>
      </w:pPr>
      <w:r>
        <w:t>Слайд 11. Top-p оставляет нужную массу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L07-S06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L07-11</w:t>
      </w:r>
      <w:r>
        <w:t>.</w:t>
      </w:r>
    </w:p>
    <w:p>
      <w:r>
        <w:t>Nucleus sampling, или top-p, сначала упорядочивает вероятности по убыванию. Затем оставляет минимальное число верхних элементов, накопленная сумма которых достигает порога p. Остальные исключаются, а оставшиеся вероятности нормируются заново.</w:t>
      </w:r>
    </w:p>
    <w:p>
      <w:pPr>
        <w:pStyle w:val="Heading1"/>
      </w:pPr>
      <w:r>
        <w:t>Слайд 12. Делим на выбранную массу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L07-S06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L07-12</w:t>
      </w:r>
      <w:r>
        <w:t>.</w:t>
      </w:r>
    </w:p>
    <w:p>
      <w:r>
        <w:t>Делим первые два числа на 0,8 и получаем (0,625;0,375;0). Третий токен больше не участвует в выборке.</w:t>
      </w:r>
    </w:p>
    <w:p>
      <w:pPr>
        <w:pStyle w:val="Heading1"/>
      </w:pPr>
      <w:r>
        <w:t>Слайд 13. Порядок правил декодирования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L07-S06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L07-13</w:t>
      </w:r>
      <w:r>
        <w:t>.</w:t>
      </w:r>
    </w:p>
    <w:p>
      <w:r>
        <w:t>В реальном опыте дополнительно задан top_k=20. В используемой версии библиотеки для этих параметров сначала применяется temperature, затем top-k и top-p. Поэтому реальную выборку нельзя объяснять только операцией top-p, которую мы отдельно разобрали на числах. Упрощённая функция объясняет одну операцию; полный вызов сохраняет все настройки.</w:t>
      </w:r>
    </w:p>
    <w:p>
      <w:pPr>
        <w:pStyle w:val="Heading1"/>
      </w:pPr>
      <w:r>
        <w:t>Слайд 14. EOS или предел продолжения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L07-S06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L07-14</w:t>
      </w:r>
      <w:r>
        <w:t>.</w:t>
      </w:r>
    </w:p>
    <w:p>
      <w:r>
        <w:t xml:space="preserve">Ограничение новых токенов решает другую задачу. </w:t>
      </w:r>
      <w:r>
        <w:rPr>
          <w:rFonts w:ascii="Courier New" w:hAnsi="Courier New"/>
          <w:sz w:val="21"/>
        </w:rPr>
        <w:t>max_new_tokens=64</w:t>
      </w:r>
      <w:r>
        <w:t xml:space="preserve"> задаёт предел числа новых предсказаний; оно не означает, что ответ обязан иметь 64 обычных слова. Модель может раньше выдать EOS, а может достичь предела, не завершив мысль. Причина остановки будет сохранена вместе с исходным ответом.</w:t>
      </w:r>
    </w:p>
    <w:p>
      <w:pPr>
        <w:pStyle w:val="Heading1"/>
      </w:pPr>
      <w:r>
        <w:t>Слайд 15. От ролей к последовательности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L07-S07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L07-15</w:t>
      </w:r>
      <w:r>
        <w:t>.</w:t>
      </w:r>
    </w:p>
    <w:p>
      <w:r>
        <w:t>В интерфейсе мы видим сообщения с ролями system, user и assistant. Для модели они превращаются в последовательность специальных разделителей и содержимого. Эту процедуру задаёт chat template, связанный с выбранным токенизатором и моделью.</w:t>
      </w:r>
    </w:p>
    <w:p>
      <w:pPr>
        <w:pStyle w:val="Heading1"/>
      </w:pPr>
      <w:r>
        <w:t>Слайд 16. Считаем весь вход модели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L07-S07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L07-16</w:t>
      </w:r>
      <w:r>
        <w:t>.</w:t>
      </w:r>
    </w:p>
    <w:p>
      <w:r>
        <w:t xml:space="preserve">Вызов </w:t>
      </w:r>
      <w:r>
        <w:rPr>
          <w:rFonts w:ascii="Courier New" w:hAnsi="Courier New"/>
          <w:sz w:val="21"/>
        </w:rPr>
        <w:t>apply_chat_template</w:t>
      </w:r>
      <w:r>
        <w:t xml:space="preserve"> использует </w:t>
      </w:r>
      <w:r>
        <w:rPr>
          <w:rFonts w:ascii="Courier New" w:hAnsi="Courier New"/>
          <w:sz w:val="21"/>
        </w:rPr>
        <w:t>add_generation_prompt=True</w:t>
      </w:r>
      <w:r>
        <w:t xml:space="preserve">, чтобы обозначить начало ответа assistant. Для выбранного Qwen3 задан </w:t>
      </w:r>
      <w:r>
        <w:rPr>
          <w:rFonts w:ascii="Courier New" w:hAnsi="Courier New"/>
          <w:sz w:val="21"/>
        </w:rPr>
        <w:t>enable_thinking=False</w:t>
      </w:r>
      <w:r>
        <w:t xml:space="preserve">. Если сначала получаем от шаблона строку, а потом токенизируем отдельно, ставим </w:t>
      </w:r>
      <w:r>
        <w:rPr>
          <w:rFonts w:ascii="Courier New" w:hAnsi="Courier New"/>
          <w:sz w:val="21"/>
        </w:rPr>
        <w:t>add_special_tokens=False</w:t>
      </w:r>
      <w:r>
        <w:t>, чтобы не добавить специальные позиции второй раз.</w:t>
      </w:r>
    </w:p>
    <w:p>
      <w:pPr>
        <w:pStyle w:val="Heading1"/>
      </w:pPr>
      <w:r>
        <w:t>Слайд 17. Отделяем новые токены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L07-S07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L07-17</w:t>
      </w:r>
      <w:r>
        <w:t>.</w:t>
      </w:r>
    </w:p>
    <w:p>
      <w:r>
        <w:t xml:space="preserve">У decoder-only генератора выход обычно включает исходный префикс и новые токены. Поэтому после генерации берём </w:t>
      </w:r>
      <w:r>
        <w:rPr>
          <w:rFonts w:ascii="Courier New" w:hAnsi="Courier New"/>
          <w:sz w:val="21"/>
        </w:rPr>
        <w:t>output[0, input_length:]</w:t>
      </w:r>
      <w:r>
        <w:t xml:space="preserve"> и декодируем только эту часть. Если показать весь массив как ответ, рядом окажутся и введённый документ, и собственный вывод модели.</w:t>
      </w:r>
    </w:p>
    <w:p>
      <w:pPr>
        <w:pStyle w:val="Heading1"/>
      </w:pPr>
      <w:r>
        <w:t>Слайд 18. Два критерия ответа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L07-S08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L07-18</w:t>
      </w:r>
      <w:r>
        <w:t>.</w:t>
      </w:r>
    </w:p>
    <w:p>
      <w:r>
        <w:t>Рассмотрим ответ «Можно» на вопрос о книге с чужой бронью. Он короткий, но противоречит D03. Теперь ответ «На 14 дней» на вопрос о количестве продлений за семестр. Сам срок подтверждён документом, однако он отвечает на другой вопрос. Эти ошибки различаются, хотя обе требуют нулевой оценки главного факта поставленной задачи.</w:t>
      </w:r>
    </w:p>
    <w:p>
      <w:pPr>
        <w:pStyle w:val="Heading1"/>
      </w:pPr>
      <w:r>
        <w:t>Слайд 19. Смысл отказа и формат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L07-S08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L07-19</w:t>
      </w:r>
      <w:r>
        <w:t>.</w:t>
      </w:r>
    </w:p>
    <w:p>
      <w:r>
        <w:t>Для strict проверяется и формат. Если данных нет, требуется точная строка «НЕТ ДАННЫХ». «В источнике это не указано» может быть содержательно подходящим отказом, но не совпадает с заданным форматом. Для basic такого требования не было, поэтому несовпадение с этой строкой нельзя считать нарушением инструкции.</w:t>
      </w:r>
    </w:p>
    <w:p>
      <w:pPr>
        <w:pStyle w:val="Heading1"/>
      </w:pPr>
      <w:r>
        <w:t>Слайд 20. Схема верна, факт ошибочен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L07-S08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L07-20</w:t>
      </w:r>
      <w:r>
        <w:t>.</w:t>
      </w:r>
    </w:p>
    <w:p>
      <w:r>
        <w:t xml:space="preserve">В JSON-опыте требуются ровно два ключа: </w:t>
      </w:r>
      <w:r>
        <w:rPr>
          <w:rFonts w:ascii="Courier New" w:hAnsi="Courier New"/>
          <w:sz w:val="21"/>
        </w:rPr>
        <w:t>answer</w:t>
      </w:r>
      <w:r>
        <w:t xml:space="preserve"> со строкой и </w:t>
      </w:r>
      <w:r>
        <w:rPr>
          <w:rFonts w:ascii="Courier New" w:hAnsi="Courier New"/>
          <w:sz w:val="21"/>
        </w:rPr>
        <w:t>has_answer</w:t>
      </w:r>
      <w:r>
        <w:t xml:space="preserve"> с логическим значением. Начнём с обычного JSON-парсера, затем проверим корневой тип, набор ключей и типы значений. Строка </w:t>
      </w:r>
      <w:r>
        <w:rPr>
          <w:rFonts w:ascii="Courier New" w:hAnsi="Courier New"/>
          <w:sz w:val="21"/>
        </w:rPr>
        <w:t>"false"</w:t>
      </w:r>
      <w:r>
        <w:t xml:space="preserve"> не равна логическому </w:t>
      </w:r>
      <w:r>
        <w:rPr>
          <w:rFonts w:ascii="Courier New" w:hAnsi="Courier New"/>
          <w:sz w:val="21"/>
        </w:rPr>
        <w:t>false</w:t>
      </w:r>
      <w:r>
        <w:t>. Markdown-ограждение вокруг объекта тоже не входит в заданный ответ.</w:t>
      </w:r>
    </w:p>
    <w:p>
      <w:pPr>
        <w:pStyle w:val="Heading1"/>
      </w:pPr>
      <w:r>
        <w:t>Слайд 21. Условие прочитано неверно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L07-21</w:t>
      </w:r>
      <w:r>
        <w:t>.</w:t>
      </w:r>
    </w:p>
    <w:p>
      <w:r>
        <w:t>В основной части выполнены шесть запросов: две инструкции и три вопроса, всегда greedy. Оба варианта правильно назвали срок 14 дней. Оба ошиблись на условии чужой брони. В strict модель вернула «Ответ: Можно.» — короткая форма не исправила главный факт.</w:t>
      </w:r>
    </w:p>
    <w:p>
      <w:pPr>
        <w:pStyle w:val="Heading1"/>
      </w:pPr>
      <w:r>
        <w:t>Слайд 22. Срок не заменяет число раз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L07-22</w:t>
      </w:r>
      <w:r>
        <w:t>.</w:t>
      </w:r>
    </w:p>
    <w:p>
      <w:r>
        <w:t>На вопрос о числе продлений basic начал добавлять правило о продлении каждую неделю и дошёл до предела 64 новых токенов. Это неподдержанная подробность и незавершённый ответ. Strict вместо количества снова назвал срок 14 дней: «Продление книги можно продлить на 14 дней.». Здесь не было нужного отказа, хотя связанная с темой цифра оказалась правильной сама по себе.</w:t>
      </w:r>
    </w:p>
    <w:p>
      <w:pPr>
        <w:pStyle w:val="Heading1"/>
      </w:pPr>
      <w:r>
        <w:t>Слайд 23. Четыре одинаковых ответа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L07-23</w:t>
      </w:r>
      <w:r>
        <w:t>.</w:t>
      </w:r>
    </w:p>
    <w:p>
      <w:r>
        <w:t>Затем один strict-промпт о сроке проверен при T=0,5 и T=1 с seed 7 и 42, при одинаковых top-p и top-k. Все четыре выборки дали «14 дней.» и завершились EOS. В этих наблюдениях изменение параметров не проявилось в видимом тексте. Это не означает, что распределение осталось прежним: его изменение мы уже рассчитали на числовом примере.</w:t>
      </w:r>
    </w:p>
    <w:p>
      <w:pPr>
        <w:pStyle w:val="Heading1"/>
      </w:pPr>
      <w:r>
        <w:t>Слайд 24. JSON прошёл обе проверки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L07-24</w:t>
      </w:r>
      <w:r>
        <w:t>.</w:t>
      </w:r>
    </w:p>
    <w:p>
      <w:r>
        <w:t xml:space="preserve">Отдельный JSON-запрос вернул </w:t>
      </w:r>
      <w:r>
        <w:rPr>
          <w:rFonts w:ascii="Courier New" w:hAnsi="Courier New"/>
          <w:sz w:val="21"/>
        </w:rPr>
        <w:t>{"answer":"14","has_answer":true}</w:t>
      </w:r>
      <w:r>
        <w:t>. Структура прошла проверку, число соответствует вопросу о днях и документу. В схеме не требовалось включать слово «дней» внутрь строки, поэтому его отсутствие не является форматной ошибкой этого опыта.</w:t>
      </w:r>
    </w:p>
    <w:p>
      <w:pPr>
        <w:pStyle w:val="Heading1"/>
      </w:pPr>
      <w:r>
        <w:t>Слайд 25. Следующий шаг — поиск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L07-S10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L07-25</w:t>
      </w:r>
      <w:r>
        <w:t>.</w:t>
      </w:r>
    </w:p>
    <w:p>
      <w:r>
        <w:t>Сегодня документ был известен заранее и целиком передан модели. Поэтому ошибки нельзя объяснять тем, что поисковик не нашёл D03. Мы исследовали инструкцию, декодирование и чтение доступного источника.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