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Оформление презентаций курса</w:t>
      </w:r>
    </w:p>
    <w:p>
      <w:r>
        <w:t>Визуальный ориентир — предоставленная автором курса презентация UvA. Из неё взяты характер типографики, белый фон, тонкая зелёная линия и свободное размещение содержательных схем. Содержание, последовательность и университетская символика не копируются.</w:t>
      </w:r>
    </w:p>
    <w:p>
      <w:r>
        <w:t>Заголовки набраны Prata, шрифтом с кириллицей и открытой лицензией OFL. Основной текст — Calibri. Слайды имеют формат 16:9, зелёный акцент #1D9A78 и синие подписи источников. Числа, матрицы, стрелки, таблицы и простой код остаются редактируемыми объектами PowerPoint. Формулы, для которых использован SVG, сопровождаются исходным TeX.</w:t>
      </w:r>
    </w:p>
    <w:p>
      <w:r>
        <w:t>Каждый слайд поддерживает конкретный фрагмент написанной лекции. Основные вычисления раскрываются по шагам. Полная речь остаётся в лекции; заметки в презентации содержат короткие подсказки, пример и переход.</w:t>
      </w:r>
    </w:p>
    <w:p>
      <w:r>
        <w:t>Сборка выполняется через локальный MCP на базе mypoint-mcp/PptxGenJS. Затем фактический PPTX экспортируется LibreOffice в PDF и рендерится Poppler в PNG. Проверяются все кадры, точность примеров, подписи, размеры, обрезки и последовательность. Отдельный рецензент принимает каждую презентацию после исправлений.</w:t>
      </w:r>
    </w:p>
    <w:p>
      <w:r>
        <w:t>Команды сборки, компоненты и работа с источниками описаны в корневых PRESENTATIONS.md и SKILL.md архива исходников. Применён также навык pptx из официального репозитория Anthropic; пользовательская зелёная линия имеет приоритет над его общими стилевыми рекомендациями.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304" w:bottom="1191" w:left="1304" w:header="53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717782"/>
        <w:sz w:val="16"/>
      </w:rPr>
      <w:t>Системы искусственного интеллекта · NLP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40"/>
    </w:pPr>
    <w:rPr>
      <w:rFonts w:ascii="Cambria" w:hAnsi="Cambria"/>
      <w:color w:val="1B1D22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mbria" w:hAnsi="Cambria"/>
      <w:b/>
      <w:bCs/>
      <w:color w:val="171A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71A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Cambria" w:hAnsi="Cambria"/>
      <w:b w:val="0"/>
      <w:color w:val="171A2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