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Рабочая программа дисциплины</w:t>
      </w:r>
    </w:p>
    <w:p>
      <w:pPr>
        <w:pStyle w:val="Heading1"/>
      </w:pPr>
      <w:r>
        <w:t>Системы искусственного интеллекта: обработка естественного языка</w:t>
      </w:r>
    </w:p>
    <w:p>
      <w:r>
        <w:t>Авторская содержательная редакция для бакалавриата. Версия 2.0, сентябрь 2026 года. Программа сопровождается полными текстами восьми лекций, презентациями, лабораторными, данными и фондом оценочных средств.</w:t>
      </w:r>
    </w:p>
    <w:p>
      <w:pPr>
        <w:pStyle w:val="Heading2"/>
      </w:pPr>
      <w:r>
        <w:t>Поля локального утверждения</w:t>
      </w:r>
    </w:p>
    <w:p>
      <w:r>
        <w:t>Образовательная организация, направление и профиль подготовки, кафедра, курс и семестр, составитель, согласующие лица, протокол и дата утверждения заполняются кафедрой при включении дисциплины в конкретный учебный план. Коды компетенций и индикаторов определяются действующей образовательной программой вуза. Ниже заданы проверяемые результаты Р1–Р8 для сопоставления с компетенциями образовательной программы.</w:t>
      </w:r>
    </w:p>
    <w:p>
      <w:pPr>
        <w:pStyle w:val="Heading1"/>
      </w:pPr>
      <w:r>
        <w:t>1. Цель и место дисциплины</w:t>
      </w:r>
    </w:p>
    <w:p>
      <w:r>
        <w:t>Цель — научить студента строить, проверять и объяснять небольшие системы обработки естественного языка: от подготовки русскоязычного текста до классификации, поиска и генерации ответов по документам.</w:t>
      </w:r>
    </w:p>
    <w:p>
      <w:r>
        <w:t>Курс последовательно вводит основы машинного обучения, разреженные и плотные представления, языковое моделирование, механизм внимания, перенос предобученных моделей, работу с LLM и RAG. Основной акцент — связь постановки задачи, данных, метрик и наблюдаемых ошибок. Знание названия модели без понимания эксперимента не считается результатом обучения.</w:t>
      </w:r>
    </w:p>
    <w:p>
      <w:r>
        <w:t>Дисциплина предназначена для бакалавров, освоивших основы программирования на Python. Предварительный курс машинного обучения не требуется. Нужны функции, циклы, списки, словари, чтение файлов, базовое представление о массивах и школьная алгебра. Вероятность, логарифм, векторы и основные понятия обучения вводятся по мере необходимости. Выводы сложных оптимизационных алгоритмов в обязательный объём не входят.</w:t>
      </w:r>
    </w:p>
    <w:p>
      <w:r>
        <w:t>Курс может входить в вариативную часть подготовки по информатике и смежным направлениям. Конкретное место, семестр и связь с официальными компетенциями устанавливаются учебным планом организации.</w:t>
      </w:r>
    </w:p>
    <w:p>
      <w:pPr>
        <w:pStyle w:val="Heading1"/>
      </w:pPr>
      <w:r>
        <w:t>2. Планируемые результаты</w:t>
      </w:r>
    </w:p>
    <w:p>
      <w:r>
        <w:t>По завершении дисциплины студент знает основные постановки NLP-задач, принципы токенизации и представления текста, назначение обучающей и проверочных выборок, базовые метрики классификации и поиска, вероятностную постановку языкового моделирования, устройство внимания и общую роль предобучения.</w:t>
      </w:r>
    </w:p>
    <w:p>
      <w:r>
        <w:t>Студент умеет провести аудит корпуса, собрать воспроизводимый baseline, сравнить модели при контролируемом протоколе, получить эмбеддинги локальной модели, выполнить ограниченную генерацию, проверить источник ответа и локализовать ошибку системы RAG.</w:t>
      </w:r>
    </w:p>
    <w:p>
      <w:r>
        <w:t>Студент владеет практикой документирования данных и параметров, сохранения исходных наблюдений, анализа ошибок и формулирования выводов в пределах проведённого эксперимента.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195"/>
      </w:tblGrid>
      <w:tr>
        <w:trPr>
          <w:cantSplit/>
          <w:tblHeader/>
        </w:trPr>
        <w:tc>
          <w:tcPr>
            <w:tcW w:type="dxa" w:w="567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Код</w:t>
            </w:r>
          </w:p>
        </w:tc>
        <w:tc>
          <w:tcPr>
            <w:tcW w:type="dxa" w:w="453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Проверяемое действие</w:t>
            </w:r>
          </w:p>
        </w:tc>
        <w:tc>
          <w:tcPr>
            <w:tcW w:type="dxa" w:w="419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Р1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Определяет единицу наблюдения, выявляет дефекты и обосновывает обработку текста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ЛР1, вопросы зачёта о данных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Р2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Обучает классификатор без утечки и интерпретирует accuracy/macro-F1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ЛР2, расчёт метрик и разбор split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Р3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Строит поиск в согласованном пространстве и оценивает ранжирование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ЛР3, косинус, Recall@k, MRR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Р4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Вычисляет вероятности n-грамм, NLL/PPL и объясняет генерацию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ЛР4, расчёт и анализ UNK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Р5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Вычисляет attention, проверяет маски и объясняет роль позиций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ЛР5, ручной пример и контроль будущего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Р6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Использует замороженный энкодер и различает способы переноса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ЛР6, сравнение с TF-IDF и pooling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Р7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Разделяет промпт, декодирование, формат и фактическую правильность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ЛР7, все исходные ответы и рубрика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Р8</w:t>
            </w:r>
          </w:p>
        </w:tc>
        <w:tc>
          <w:tcPr>
            <w:tcW w:type="dxa" w:w="453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Собирает RAG и различает ошибки поиска, упаковки и генерации</w:t>
            </w:r>
          </w:p>
        </w:tc>
        <w:tc>
          <w:tcPr>
            <w:tcW w:type="dxa" w:w="419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ЛР8, журнал, oracle и проверка источника</w:t>
            </w:r>
          </w:p>
        </w:tc>
      </w:tr>
    </w:tbl>
    <w:p>
      <w:pPr>
        <w:spacing w:after="0"/>
      </w:pPr>
    </w:p>
    <w:p>
      <w:r>
        <w:t>Лабораторные 6–8 используют готовые нейросетевые веса; работы 1–5 посвящены обработке данных, классическим моделям и вычислениям на NumPy. Дообучение большого Transformer, разработка веб-сервиса, обработка речи и мультимодальность не входят в обязательные результаты. RNN, NER, fine-tuning и предпочтения ответов рассматриваются на уровне, указанном в содержании лекций.</w:t>
      </w:r>
    </w:p>
    <w:p>
      <w:pPr>
        <w:pStyle w:val="Heading1"/>
      </w:pPr>
      <w:r>
        <w:t>3. Объём дисциплины</w:t>
      </w:r>
    </w:p>
    <w:p>
      <w:r>
        <w:t>Единица планирования — академический час 45 минут. Одно занятие длится 90 минут и соответствует двум академическим часам. Общая трудоёмкость — 72 академических часа, или 54 астрономических часа. При принятом в учебном плане эквиваленте 36 академических часов это 2 зачётные единицы; окончательное обозначение закрепляет вуз.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80"/>
        <w:gridCol w:w="1417"/>
      </w:tblGrid>
      <w:tr>
        <w:trPr>
          <w:cantSplit/>
          <w:tblHeader/>
        </w:trPr>
        <w:tc>
          <w:tcPr>
            <w:tcW w:type="dxa" w:w="788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Вид работы</w:t>
            </w:r>
          </w:p>
        </w:tc>
        <w:tc>
          <w:tcPr>
            <w:tcW w:type="dxa" w:w="1417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Академические часы</w:t>
            </w:r>
          </w:p>
        </w:tc>
      </w:tr>
      <w:tr>
        <w:trPr>
          <w:cantSplit/>
        </w:trPr>
        <w:tc>
          <w:tcPr>
            <w:tcW w:type="dxa" w:w="78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Лекции: 8 × 2</w:t>
            </w:r>
          </w:p>
        </w:tc>
        <w:tc>
          <w:tcPr>
            <w:tcW w:type="dxa" w:w="141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78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Лабораторные: 8 × 2</w:t>
            </w:r>
          </w:p>
        </w:tc>
        <w:tc>
          <w:tcPr>
            <w:tcW w:type="dxa" w:w="141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78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Самостоятельная работа</w:t>
            </w:r>
          </w:p>
        </w:tc>
        <w:tc>
          <w:tcPr>
            <w:tcW w:type="dxa" w:w="141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38</w:t>
            </w:r>
          </w:p>
        </w:tc>
      </w:tr>
      <w:tr>
        <w:trPr>
          <w:cantSplit/>
        </w:trPr>
        <w:tc>
          <w:tcPr>
            <w:tcW w:type="dxa" w:w="78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Промежуточная аттестация: устный зачёт</w:t>
            </w:r>
          </w:p>
        </w:tc>
        <w:tc>
          <w:tcPr>
            <w:tcW w:type="dxa" w:w="141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78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Итого</w:t>
            </w:r>
          </w:p>
        </w:tc>
        <w:tc>
          <w:tcPr>
            <w:tcW w:type="dxa" w:w="1417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72</w:t>
            </w:r>
          </w:p>
        </w:tc>
      </w:tr>
    </w:tbl>
    <w:p>
      <w:pPr>
        <w:spacing w:after="0"/>
      </w:pPr>
    </w:p>
    <w:p>
      <w:r>
        <w:t>Лекции интерактивные: речь преподавателя, вопросы, ручные расчёты и обсуждения входят в 90 минут. Лабораторные проводятся отдельными занятиями. Подготовка библиотек и моделей выполняется до аудиторного запуска и включена в самостоятельную подготовку.</w:t>
      </w:r>
    </w:p>
    <w:p>
      <w:pPr>
        <w:pStyle w:val="Heading1"/>
      </w:pPr>
      <w:r>
        <w:t>4. Тематический план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"/>
        <w:gridCol w:w="2778"/>
        <w:gridCol w:w="510"/>
        <w:gridCol w:w="510"/>
        <w:gridCol w:w="680"/>
        <w:gridCol w:w="4479"/>
      </w:tblGrid>
      <w:tr>
        <w:trPr>
          <w:cantSplit/>
          <w:tblHeader/>
        </w:trPr>
        <w:tc>
          <w:tcPr>
            <w:tcW w:type="dxa" w:w="34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№</w:t>
            </w:r>
          </w:p>
        </w:tc>
        <w:tc>
          <w:tcPr>
            <w:tcW w:type="dxa" w:w="2778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Тема</w:t>
            </w:r>
          </w:p>
        </w:tc>
        <w:tc>
          <w:tcPr>
            <w:tcW w:type="dxa" w:w="51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Лекц.</w:t>
            </w:r>
          </w:p>
        </w:tc>
        <w:tc>
          <w:tcPr>
            <w:tcW w:type="dxa" w:w="51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ЛР</w:t>
            </w:r>
          </w:p>
        </w:tc>
        <w:tc>
          <w:tcPr>
            <w:tcW w:type="dxa" w:w="68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Самост.</w:t>
            </w:r>
          </w:p>
        </w:tc>
        <w:tc>
          <w:tcPr>
            <w:tcW w:type="dxa" w:w="4479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Результат практики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Текст как данные: задачи, корпус, нормализация, токенизация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Аудит корпуса и политика обработки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TF-IDF, обучение классификатора и честная оценка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Baseline, validation, test и ошибки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Эмбеддинги, косинус и поиск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TF-IDF/SVD, выдача и метрики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Языковая модель: n-граммы, сглаживание, RNN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NLL/PPL, выбор порядка и генерация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Attention и Transformer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Реализация внимания и проверки масок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BERT, перенос и контекстные представления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Замороженный CLS и классификация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LLM: инструкции, декодирование, проверка ответа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Сравнение промптов, sampling и JSON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8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RAG: источники, контекст и оценка системы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Система ответов и диагностика компонентов</w:t>
            </w:r>
          </w:p>
        </w:tc>
      </w:tr>
      <w:tr>
        <w:trPr>
          <w:cantSplit/>
        </w:trPr>
        <w:tc>
          <w:tcPr>
            <w:tcW w:type="dxa" w:w="34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Всего по темам</w:t>
            </w:r>
          </w:p>
        </w:tc>
        <w:tc>
          <w:tcPr>
            <w:tcW w:type="dxa" w:w="277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16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16</w:t>
            </w:r>
          </w:p>
        </w:tc>
        <w:tc>
          <w:tcPr>
            <w:tcW w:type="dxa" w:w="68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38</w:t>
            </w:r>
          </w:p>
        </w:tc>
        <w:tc>
          <w:tcPr>
            <w:tcW w:type="dxa" w:w="447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70 часов</w:t>
            </w:r>
          </w:p>
        </w:tc>
      </w:tr>
    </w:tbl>
    <w:p>
      <w:pPr>
        <w:spacing w:after="0"/>
      </w:pPr>
    </w:p>
    <w:p>
      <w:r>
        <w:t>Дополнительно 2 часа отведены на зачёт. Рекомендуемая последовательность — восемь недель по одной лекции и одной лабораторной в неделю; иной календарь допустим при сохранении порядка предпосылок.</w:t>
      </w:r>
    </w:p>
    <w:p>
      <w:pPr>
        <w:pStyle w:val="Heading1"/>
      </w:pPr>
      <w:r>
        <w:t>5. Содержание разделов</w:t>
      </w:r>
    </w:p>
    <w:p>
      <w:pPr>
        <w:pStyle w:val="Heading2"/>
      </w:pPr>
      <w:r>
        <w:t>1. Данные и предобработка</w:t>
      </w:r>
    </w:p>
    <w:p>
      <w:r>
        <w:t>NLP как семейство задач над естественным языком. Различие строки и независимой ситуации. Неоднозначность слов и меток. Схема корпуса, происхождение, пропуски, дубликаты, конфликтная разметка. Unicode/NFC, пробелы, регистр, отрицание, коды ошибок. Токенизация, ограниченная демонстрация лемматизации, зависимость предобработки от задачи. ЛР1: аудит основного и специально испорченного корпуса, сравнение преобразований и собственные контрпримеры.</w:t>
      </w:r>
    </w:p>
    <w:p>
      <w:pPr>
        <w:pStyle w:val="Heading2"/>
      </w:pPr>
      <w:r>
        <w:t>2. Классификация текста</w:t>
      </w:r>
    </w:p>
    <w:p>
      <w:r>
        <w:t>Объект, признак, метка, модель, обучение и предсказание. Train/validation/test и групповые варианты одной ситуации. Мешок слов, n-граммы, TF, IDF, нормировка. Линейная классификация и логистическая регрессия на уровне интерпретируемой постановки. Pipeline, постоянный baseline, confusion matrix, accuracy, precision/recall/F1, macro-усреднение, дисбаланс и утечка. ЛР2: TF-IDF по словам и символам, выбор на validation, окончательный test и фактический разбор ошибок.</w:t>
      </w:r>
    </w:p>
    <w:p>
      <w:pPr>
        <w:pStyle w:val="Heading2"/>
      </w:pPr>
      <w:r>
        <w:t>3. Представления и поиск</w:t>
      </w:r>
    </w:p>
    <w:p>
      <w:r>
        <w:t>Разреженный вектор и плотное представление. Косинус и его геометрия, влияние масштаба. SVD как учебный способ уменьшить размерность; смысл и ограничения проекции. Дистрибутивная идея Word2Vec, подсловные признаки fastText, контекстные представления. Индекс известной коллекции, согласованность пространств, ранжирование, Recall@k и MRR@k. ЛР3: два индекса одной базы, сравнение выдач, поиск без ответа и ограничения двумерной картинки.</w:t>
      </w:r>
    </w:p>
    <w:p>
      <w:pPr>
        <w:pStyle w:val="Heading2"/>
      </w:pPr>
      <w:r>
        <w:t>4. Вероятностное продолжение последовательности</w:t>
      </w:r>
    </w:p>
    <w:p>
      <w:r>
        <w:t>Цепное разложение, ограничение истории n-граммой, подсчёт частот, BOS/EOS/UNK, сглаживание. Отрицательный логарифм правдоподобия, perplexity и условия сопоставимости. Редкий словарь и искусственное снижение сложности через UNK. Greedy и sampling, локальный и глобальный максимум. RNN: состояние, рекуррентная связь, следующий токен и teacher forcing. ЛР4: unigram/bigram/trigram на группах train, выбор по validation PPL, test и сохранённые генерации.</w:t>
      </w:r>
    </w:p>
    <w:p>
      <w:pPr>
        <w:pStyle w:val="Heading2"/>
      </w:pPr>
      <w:r>
        <w:t>5. Attention и Transformer</w:t>
      </w:r>
    </w:p>
    <w:p>
      <w:r>
        <w:t>Q/K/V, масштабированное скалярное внимание, устойчивый softmax. Строковая нормировка, causal- и padding-маски, недопустимость полностью закрытой строки. Роль позиционной информации, перестановочная эквивариантность без позиций и масок, multi-head. Остаточные связи, нормировка, feed-forward и семейства encoder/decoder/encoder-decoder. Память матрицы внимания и отличие весов внимания от доказанного объяснения. ЛР5: NumPy-реализация, ручной пример, контроль влияния будущего, padding и позиций.</w:t>
      </w:r>
    </w:p>
    <w:p>
      <w:pPr>
        <w:pStyle w:val="Heading2"/>
      </w:pPr>
      <w:r>
        <w:t>6. Предобученный энкодер</w:t>
      </w:r>
    </w:p>
    <w:p>
      <w:r>
        <w:t>BERT и masked language modeling, двунаправленный контекст, специальные токены. Токенизация и ограничение длины. CLS и masked mean, выбор pooling по конкретной модели. Замороженные признаки и fine-tuning, режим eval и отключение градиентов. Классификация документов и общая постановка NER с BIO-разметкой и сущностными метриками. ЛР6: rubert-tiny2, пакетное кодирование, воспроизводимость, сравнение с char-TFIDF и анализ усечения.</w:t>
      </w:r>
    </w:p>
    <w:p>
      <w:pPr>
        <w:pStyle w:val="Heading2"/>
      </w:pPr>
      <w:r>
        <w:t>7. Генеративная LLM</w:t>
      </w:r>
    </w:p>
    <w:p>
      <w:r>
        <w:t>Предобучение, демонстрации инструкции, обучение по предпочтениям: назначение сигналов и пределы фактической надёжности. Zero/few-shot, контекст и веса, chat template, роли сообщений. Temperature, top-p, greedy, лимит входа и новых токенов. Извлечение только продолжения. Формат JSON и содержательная проверка, неизвестный факт, условие и обрыв. ЛР7: две инструкции на трёх вопросах, фиксированные sampling-запуски, строгий валидатор и ручная рубрика исходных ответов.</w:t>
      </w:r>
    </w:p>
    <w:p>
      <w:pPr>
        <w:pStyle w:val="Heading2"/>
      </w:pPr>
      <w:r>
        <w:t>8. Система RAG</w:t>
      </w:r>
    </w:p>
    <w:p>
      <w:r>
        <w:t>База, фрагмент и происхождение, версия и индекс. Извлечение и упаковка, измерение полного промпта, retrieved_ids/included_ids. Ответимость, поддержка утверждения и ссылка. Компонентные метрики, единый знаменатель и границы малой диагностической выборки. Empty-контекст, oracle как отдельный опыт. Косвенная инъекция через источник и ограниченность единичного зонда. ЛР8: локальный поиск, последовательная загрузка моделей, 12 основных генераций, два диагностических случая и журнал для анализа.</w:t>
      </w:r>
    </w:p>
    <w:p>
      <w:pPr>
        <w:pStyle w:val="Heading1"/>
      </w:pPr>
      <w:r>
        <w:t>6. Самостоятельная работа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510"/>
        <w:gridCol w:w="8334"/>
      </w:tblGrid>
      <w:tr>
        <w:trPr>
          <w:cantSplit/>
          <w:tblHeader/>
        </w:trPr>
        <w:tc>
          <w:tcPr>
            <w:tcW w:type="dxa" w:w="454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Тема</w:t>
            </w:r>
          </w:p>
        </w:tc>
        <w:tc>
          <w:tcPr>
            <w:tcW w:type="dxa" w:w="51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Часы</w:t>
            </w:r>
          </w:p>
        </w:tc>
        <w:tc>
          <w:tcPr>
            <w:tcW w:type="dxa" w:w="8334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Задания и предъявляемый результат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Термины и источники 1; пояснения в ноутбуке 1; пять контрольных примеров 1; повторный запуск и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TF-IDF и метрики 1; ручной расчёт 1; ноутбук и разбор ошибок 2;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Косинус и источники 1; сравнение выдач 1; пояснения в ноутбуке 1;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Вероятности и PPL 1; анализ генераций/UNK 1; пояснения в ноутбуке 1;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Формулы внимания 1; ручные вычисления 1; маски и позиции 1; пояснения в ноутбуке 1;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Подготовка энкодера и карточка 1; pooling/усечение 1; ошибки классификации 1; пояснения в ноутбуке 1;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Подготовка генератора 1; промпты и декодирование 1; фактическая рубрика 1; пояснения в ноутбуке 1; защита 1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8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Проверка двух моделей 1; таблица RAG 1; диагностика и улучшения 1; пояснения в ноутбуке и повторный запуск 1; подготовка к зачёту 2</w:t>
            </w:r>
          </w:p>
        </w:tc>
      </w:tr>
      <w:tr>
        <w:trPr>
          <w:cantSplit/>
        </w:trPr>
        <w:tc>
          <w:tcPr>
            <w:tcW w:type="dxa" w:w="45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Итого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38</w:t>
            </w:r>
          </w:p>
        </w:tc>
        <w:tc>
          <w:tcPr>
            <w:tcW w:type="dxa" w:w="8334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</w:r>
          </w:p>
        </w:tc>
      </w:tr>
    </w:tbl>
    <w:p>
      <w:pPr>
        <w:spacing w:after="0"/>
      </w:pPr>
    </w:p>
    <w:p>
      <w:r>
        <w:t>Подготовка среды и загрузка моделей выполняются до занятия. Если нужно, преподаватель организует разрешённое локальное копирование заранее загруженного кеша.</w:t>
      </w:r>
    </w:p>
    <w:p>
      <w:pPr>
        <w:pStyle w:val="Heading1"/>
      </w:pPr>
      <w:r>
        <w:t>7. Образовательные технологии</w:t>
      </w:r>
    </w:p>
    <w:p>
      <w:r>
        <w:t>Каждая лекция имеет полный сценарий речи, план с минутами и визуальную опору примерно из 20–25 слайдов. К каждому слайду привязаны раздел и точная цитата-якорь; заметки содержат краткое объяснение, пример, комментарий и переход. Формулы сопровождаются ручным примером, а заявленные наблюдения — воспроизводимым кодом или явной маркировкой условных данных.</w:t>
      </w:r>
    </w:p>
    <w:p>
      <w:r>
        <w:t>Лабораторная начинается с задачи и рабочего примера. Студент завершает предложенные функции, запускает открытые проверки, получает наблюдения и объясняет их в ноутбуке. Готовая инфраструктура загрузки модели уменьшает техническую нагрузку; задание сосредоточено на конкретном механизме занятия. Собственные примеры исследуются отдельно от исходного теста.</w:t>
      </w:r>
    </w:p>
    <w:p>
      <w:r>
        <w:t>Преподавательская версия содержит решения, сохранённые результаты и конкретную интерпретацию ошибок. Она выдаётся преподавателю отдельно. Для занятия без сети используются заранее загруженные модели; при неисправности среды возможен разбор сохранённых наблюдений с последующим подтверждением собственного запуска.</w:t>
      </w:r>
    </w:p>
    <w:p>
      <w:r>
        <w:t>Материалы предоставлены в DOCX/MD и PDF; код — в IPYNB. PDF позволяет читать без Office, редактируемые файлы — адаптировать размер шрифта и подачу. Смысл схем не кодируется только цветом: используются подписи, направления и числа. По образовательным потребностям студента преподаватель может увеличить время защиты или предоставить текстовую форму ответа с сохранением оцениваемого результата и в соответствии с правилами организации.</w:t>
      </w:r>
    </w:p>
    <w:p>
      <w:r>
        <w:t>Пояснения и анализ результатов сдаются в выполненном ноутбуке. Для ЛР8 также сохраняется автоматически созданный журнал запросов и ответов. Дополнительный текстовый отчёт не требуется.</w:t>
      </w:r>
    </w:p>
    <w:p>
      <w:pPr>
        <w:pStyle w:val="Heading1"/>
      </w:pPr>
      <w:r>
        <w:t>8. Оценивание и промежуточная аттестация</w:t>
      </w:r>
    </w:p>
    <w:p>
      <w:r>
        <w:t>Текущий контроль — восемь лабораторных, каждая по 100 баллов. Общая структура: корректность 40, эксперимент 30, интерпретация 20, защита 10. Детализация применительно к каждой работе дана в её методичке. Порог сдачи каждой работы — 60. Проверяется предъявленный результат; ошибки небольшой модели сами по себе не снижают оценку корректно проведённого и объяснённого эксперимента.</w:t>
      </w:r>
    </w:p>
    <w:p>
      <w:r>
        <w:t>Для итогового зачёта должны быть сданы все восемь лабораторных. Устный зачёт содержит два теоретических вопроса и практический случай; веса 30+30+40, порог 60. Итог «зачтено» выставляется при выполнении обоих условий: сданы все работы и набрано не менее 60 на зачёте. Высокий средний балл лабораторных не компенсирует несданную работу.</w:t>
      </w:r>
    </w:p>
    <w:p>
      <w:r>
        <w:t>Фонд оценочных средств включает 16 билетов, публичную рубрику и отдельные преподавательские ключи. Вопросы требуют объяснения механизма и применения к небольшому примеру. Перечень билетов может использоваться для подготовки; конкретный билет определяется преподавателем при проведении зачёта.</w:t>
      </w:r>
    </w:p>
    <w:p>
      <w:r>
        <w:t>Рекомендуется 15–20 минут подготовки и 12–15 минут индивидуального ответа. Два академических часа в плане — трудоёмкость аттестации студента, а не обещание принять произвольную группу за 90 минут. Для большой группы кафедра составляет очереди или несколько сеансов. Организационный график не меняет содержание критериев.</w:t>
      </w:r>
    </w:p>
    <w:p>
      <w:r>
        <w:t>При недостаточном результате студент получает замечания по критериям, исправляет работу или повторяет зачёт в порядке, установленном организацией. Этот комплект не подменяет локальные правила сроков, допуска и пересдачи.</w:t>
      </w:r>
    </w:p>
    <w:p>
      <w:pPr>
        <w:pStyle w:val="Heading1"/>
      </w:pPr>
      <w:r>
        <w:t>9. Учебные ресурсы и данные</w:t>
      </w:r>
    </w:p>
    <w:p>
      <w:r>
        <w:t>Основное чтение — полные тексты L01–L08 и указанные в них первичные источники. Центральный открытый учебник: Jurafsky, Martin, Speech and Language Processing, 3rd edition draft, https://web.stanford.edu/~jurafsky/slp3/. Прямые ссылки на источники даны в лекциях. Онлайн-черновик следует сверять перед новым учебным годом.</w:t>
      </w:r>
    </w:p>
    <w:p>
      <w:r>
        <w:t>Дополнительные первичные источники: Mikolov et al. (2013), Word2Vec; Bojanowski et al. (2017), fastText; Vaswani et al. (2017), Transformer; Devlin et al. (2019), BERT; Brown et al. (2020), few-shot; Ouyang et al. (2022), обучение инструкциям; Lewis et al. (2020), RAG. Прямые ссылки и оговорки по применимости приведены в соответствующих лекциях. Документация: scikit-learn, PyTorch, Hugging Face Transformers и карточки двух закреплённых моделей.</w:t>
      </w:r>
    </w:p>
    <w:p>
      <w:r>
        <w:t>Данные созданы для этого курса. Основной корпус: 600 обращений, 120 базовых ситуаций по пять вариантов, шесть классов, разбиение 360/120/120 с разделением групп. Аудит: 24 намеренно проблемные записи. База знаний: 12 коротких документов. Поисковые вопросы: 30, из них 24 с ответом и шесть без ответа в базе.</w:t>
      </w:r>
    </w:p>
    <w:p>
      <w:r>
        <w:t xml:space="preserve">Все правила университета «Север» вымышлены. Малая синтетическая коллекция позволяет разбирать каждый пример, но не является репрезентативной выборкой реального потока. Некоторые авторские метки неоднозначны без дополнительного контекста; это отражено в паспорте и преподавательских комментариях. Контрольные суммы и схема находятся в </w:t>
      </w:r>
      <w:r>
        <w:rPr>
          <w:rFonts w:ascii="Courier New" w:hAnsi="Courier New"/>
          <w:sz w:val="21"/>
        </w:rPr>
        <w:t>data/manifest.json</w:t>
      </w:r>
      <w:r>
        <w:t xml:space="preserve"> и </w:t>
      </w:r>
      <w:r>
        <w:rPr>
          <w:rFonts w:ascii="Courier New" w:hAnsi="Courier New"/>
          <w:sz w:val="21"/>
        </w:rPr>
        <w:t>data/README.md</w:t>
      </w:r>
      <w:r>
        <w:t>.</w:t>
      </w:r>
    </w:p>
    <w:p>
      <w:pPr>
        <w:pStyle w:val="Heading1"/>
      </w:pPr>
      <w:r>
        <w:t>10. Программное и материальное обеспечение</w:t>
      </w:r>
    </w:p>
    <w:p>
      <w:r>
        <w:t xml:space="preserve">Для студента: компьютер с 64-битным Python, CPU, JupyterLab, NumPy, pandas, scikit-learn, matplotlib, PyTorch и Transformers. Ориентир — 8 ГБ ОЗУ; перед генеративными работами закрываются лишние приложения. Точные проверенные версии записаны в </w:t>
      </w:r>
      <w:r>
        <w:rPr>
          <w:rFonts w:ascii="Courier New" w:hAnsi="Courier New"/>
          <w:sz w:val="21"/>
        </w:rPr>
        <w:t>requirements-lock.txt</w:t>
      </w:r>
      <w:r>
        <w:t xml:space="preserve">; команды подготовки — в </w:t>
      </w:r>
      <w:r>
        <w:rPr>
          <w:rFonts w:ascii="Courier New" w:hAnsi="Courier New"/>
          <w:sz w:val="21"/>
        </w:rPr>
        <w:t>START.md</w:t>
      </w:r>
      <w:r>
        <w:t>.</w:t>
      </w:r>
    </w:p>
    <w:p>
      <w:r>
        <w:t>GPU, платные модельные API и постоянный интернет для обязательных работ не требуются. Модели скачиваются заранее из публичных репозиториев с закреплёнными ревизиями. Все вызовы в ноутбуках используют локальные файлы. Интернет нужен для первичной подготовки и чтения внешних источников.</w:t>
      </w:r>
    </w:p>
    <w:p>
      <w:r>
        <w:t>Для лекций: проектор или большой экран 16:9 и средство просмотра PDF либо PowerPoint. Для изменения содержимого доступны DOCX и PPTX. Локальная авторская сборка использует python-docx, PptxGenJS через MCP, MathJax, Sharp, LibreOffice и Poppler; студенту не нужно выполнять её для лабораторных.</w:t>
      </w:r>
    </w:p>
    <w:p>
      <w:r>
        <w:t>В комплекте есть протоколы фактических запусков и результаты независимых рецензий. Исторические замеры ресурсов относятся к первой редакции вычислительных опытов. Замер на машине с 31,1 ГБ не называется проверкой на физическом компьютере с 8 ГБ. Перед первым проведением преподаватель проверяет наиболее тяжёлые ЛР7–ЛР8 на оборудовании аудитории. Последовательная загрузка моделей и ограниченный контекст уменьшают одновременную потребность в памяти.</w:t>
      </w:r>
    </w:p>
    <w:p>
      <w:pPr>
        <w:pStyle w:val="Heading1"/>
      </w:pPr>
      <w:r>
        <w:t>11. Состав учебного комплекта</w:t>
      </w:r>
    </w:p>
    <w:p>
      <w:r>
        <w:t>Студенту: РПД, инструкция запуска, билеты и рубрика; восемь текстов лекций; восемь PPTX и PDF; восемь методичек и ноутбуков с заданиями; данные, версии зависимостей и загрузчик моделей.</w:t>
      </w:r>
    </w:p>
    <w:p>
      <w:r>
        <w:t>Преподавателю дополнительно: краткие планы с распределением времени, выполненные решения, исходные журналы генерации, ключи билетов, карты соответствия слайдов, отдельные заметки, отчёты проверок. Исходники материалов и скриптов сборки предоставляются отдельным архивом для адаптации курса.</w:t>
      </w:r>
    </w:p>
    <w:p>
      <w:r>
        <w:t>При изменении лекции обновляется связанный сценарий слайдов. При изменении данных, кода или моделей пересчитываются затронутые результаты и преподавательские выводы. Так сохраняется согласованность речи, визуальной опоры и лабораторного эксперимента.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