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4BAA4" w14:textId="28E079D8" w:rsidR="00760892" w:rsidRPr="00AE521E" w:rsidRDefault="00AE521E" w:rsidP="00AE521E">
      <w:pPr>
        <w:pStyle w:val="Heading1"/>
      </w:pPr>
      <w:r w:rsidRPr="00AE521E">
        <w:t>Gathering of Requirements</w:t>
      </w:r>
    </w:p>
    <w:p w14:paraId="0D997948" w14:textId="77777777" w:rsidR="0060209E" w:rsidRDefault="00AE521E" w:rsidP="00AE521E">
      <w:r w:rsidRPr="00AE521E">
        <w:t xml:space="preserve">The </w:t>
      </w:r>
      <w:r>
        <w:t>gathering</w:t>
      </w:r>
      <w:r w:rsidRPr="00AE521E">
        <w:t xml:space="preserve"> </w:t>
      </w:r>
      <w:r>
        <w:t>of requirements is done by e-mail (</w:t>
      </w:r>
      <w:r w:rsidR="0060209E">
        <w:t xml:space="preserve">dated 06/04/2024 17:44, </w:t>
      </w:r>
      <w:r>
        <w:t>see “</w:t>
      </w:r>
      <w:r w:rsidRPr="00AE521E">
        <w:rPr>
          <w:i/>
          <w:iCs/>
        </w:rPr>
        <w:t>360T - Your Job Application _ Invite to the e-Assessmen</w:t>
      </w:r>
      <w:r>
        <w:rPr>
          <w:i/>
          <w:iCs/>
        </w:rPr>
        <w:t>t.eml</w:t>
      </w:r>
      <w:r>
        <w:t xml:space="preserve">”). </w:t>
      </w:r>
    </w:p>
    <w:p w14:paraId="4F3D61E4" w14:textId="32946092" w:rsidR="00AC3A14" w:rsidRPr="00AC3A14" w:rsidRDefault="00AC3A14" w:rsidP="00AE521E">
      <w:r>
        <w:object w:dxaOrig="1473" w:dyaOrig="971" w14:anchorId="01497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pt;height:48.7pt" o:ole="">
            <v:imagedata r:id="rId5" o:title=""/>
          </v:shape>
          <o:OLEObject Type="Embed" ProgID="Package" ShapeID="_x0000_i1025" DrawAspect="Icon" ObjectID="_1773991484" r:id="rId6"/>
        </w:object>
      </w:r>
    </w:p>
    <w:p w14:paraId="451A3308" w14:textId="013C9E81" w:rsidR="00AE521E" w:rsidRDefault="00AE521E" w:rsidP="00AE521E">
      <w:r>
        <w:t>The email</w:t>
      </w:r>
      <w:r w:rsidR="0060209E">
        <w:t xml:space="preserve"> </w:t>
      </w:r>
      <w:r>
        <w:t xml:space="preserve">contains the instructions for implementing the attached task and give an impression about the coding style and the level of expertise. The </w:t>
      </w:r>
      <w:r w:rsidR="00407465">
        <w:t>attached files are:</w:t>
      </w:r>
    </w:p>
    <w:p w14:paraId="32D0BE72" w14:textId="0C3E6AC0" w:rsidR="00407465" w:rsidRDefault="00407465" w:rsidP="00407465">
      <w:pPr>
        <w:pStyle w:val="ListParagraph"/>
        <w:numPr>
          <w:ilvl w:val="0"/>
          <w:numId w:val="1"/>
        </w:numPr>
      </w:pPr>
      <w:r>
        <w:t>“</w:t>
      </w:r>
      <w:r w:rsidR="00882B2D" w:rsidRPr="00882B2D">
        <w:rPr>
          <w:i/>
          <w:iCs/>
        </w:rPr>
        <w:t>Data Engineer Assignment.pdf</w:t>
      </w:r>
      <w:r>
        <w:t>”</w:t>
      </w:r>
      <w:r w:rsidR="00882B2D">
        <w:t xml:space="preserve"> with the explanation of the assignment that should be done and the requirements of another optional </w:t>
      </w:r>
      <w:r w:rsidR="0060209E">
        <w:t>assignment.</w:t>
      </w:r>
    </w:p>
    <w:p w14:paraId="1CA90FFD" w14:textId="77777777" w:rsidR="00AC3A14" w:rsidRDefault="00AC3A14" w:rsidP="00AC3A14">
      <w:pPr>
        <w:pStyle w:val="ListParagraph"/>
      </w:pPr>
    </w:p>
    <w:p w14:paraId="062B8322" w14:textId="64B53407" w:rsidR="00AC3A14" w:rsidRDefault="00AC3A14" w:rsidP="00AC3A14">
      <w:pPr>
        <w:pStyle w:val="ListParagraph"/>
      </w:pPr>
      <w:r>
        <w:object w:dxaOrig="1473" w:dyaOrig="971" w14:anchorId="1699D061">
          <v:shape id="_x0000_i1026" type="#_x0000_t75" style="width:73.7pt;height:48.7pt" o:ole="">
            <v:imagedata r:id="rId7" o:title=""/>
          </v:shape>
          <o:OLEObject Type="Embed" ProgID="Acrobat.Document.DC" ShapeID="_x0000_i1026" DrawAspect="Icon" ObjectID="_1773991485" r:id="rId8"/>
        </w:object>
      </w:r>
    </w:p>
    <w:p w14:paraId="4BCE17DB" w14:textId="77777777" w:rsidR="00AC3A14" w:rsidRDefault="00AC3A14" w:rsidP="00AC3A14">
      <w:pPr>
        <w:pStyle w:val="ListParagraph"/>
      </w:pPr>
    </w:p>
    <w:p w14:paraId="69094A1C" w14:textId="0DF0BAAC" w:rsidR="0060209E" w:rsidRDefault="0060209E" w:rsidP="00407465">
      <w:pPr>
        <w:pStyle w:val="ListParagraph"/>
        <w:numPr>
          <w:ilvl w:val="0"/>
          <w:numId w:val="1"/>
        </w:numPr>
      </w:pPr>
      <w:r>
        <w:t>“</w:t>
      </w:r>
      <w:r w:rsidRPr="0060209E">
        <w:rPr>
          <w:i/>
          <w:iCs/>
        </w:rPr>
        <w:t>rates_sample.csv</w:t>
      </w:r>
      <w:r>
        <w:t>” an example of CSV containing a sample of events that needs to be analysed</w:t>
      </w:r>
    </w:p>
    <w:p w14:paraId="7E1DE512" w14:textId="67D2BFF7" w:rsidR="00AC3A14" w:rsidRDefault="00AC3A14" w:rsidP="00AC3A14">
      <w:pPr>
        <w:ind w:left="720"/>
      </w:pPr>
      <w:r>
        <w:object w:dxaOrig="1473" w:dyaOrig="971" w14:anchorId="1B1B50C2">
          <v:shape id="_x0000_i1027" type="#_x0000_t75" style="width:73.7pt;height:48.7pt" o:ole="">
            <v:imagedata r:id="rId9" o:title=""/>
          </v:shape>
          <o:OLEObject Type="Embed" ProgID="Excel.SheetMacroEnabled.12" ShapeID="_x0000_i1027" DrawAspect="Icon" ObjectID="_1773991486" r:id="rId10"/>
        </w:object>
      </w:r>
    </w:p>
    <w:p w14:paraId="34D946E2" w14:textId="77777777" w:rsidR="00DC13BE" w:rsidRDefault="00DC13B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1D1309" w14:textId="10E824D2" w:rsidR="00AC3A14" w:rsidRDefault="00AC3A14" w:rsidP="00AC3A14">
      <w:pPr>
        <w:pStyle w:val="Heading1"/>
      </w:pPr>
      <w:r>
        <w:lastRenderedPageBreak/>
        <w:t>Analysis of Requirements</w:t>
      </w:r>
    </w:p>
    <w:p w14:paraId="17B80423" w14:textId="367CAF45" w:rsidR="00AC3A14" w:rsidRDefault="00AC3A14" w:rsidP="00AC3A14">
      <w:r>
        <w:t>In the analysis of requirements phase, we determine the needs and expectation of a new Datawarehouse (DWH) product called “</w:t>
      </w:r>
      <w:r w:rsidRPr="00AC3A14">
        <w:rPr>
          <w:i/>
          <w:iCs/>
        </w:rPr>
        <w:t>ForeignExchangeRateDWH</w:t>
      </w:r>
      <w:r>
        <w:t xml:space="preserve">”. The purpose of the analysis is to define expectations, resolve conflicts, document all the key requirements; it involves frequent communication with the stakeholders. </w:t>
      </w:r>
    </w:p>
    <w:p w14:paraId="4919955C" w14:textId="67A59296" w:rsidR="00AC3A14" w:rsidRDefault="00AC3A14" w:rsidP="00AC3A14">
      <w:pPr>
        <w:pStyle w:val="Subtitle"/>
      </w:pPr>
      <w:r>
        <w:t>Stakeholder Identification</w:t>
      </w:r>
    </w:p>
    <w:p w14:paraId="4227E96E" w14:textId="69DD96E4" w:rsidR="00AC3A14" w:rsidRDefault="00AC3A14" w:rsidP="00AC3A14">
      <w:r>
        <w:t>The project is composed by the following stakeholders:</w:t>
      </w:r>
    </w:p>
    <w:p w14:paraId="583010E8" w14:textId="77777777" w:rsidR="00817D43" w:rsidRDefault="00AC3A14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360T</w:t>
      </w:r>
      <w:r w:rsidR="00614178">
        <w:t>:</w:t>
      </w:r>
      <w:r w:rsidR="00817D43">
        <w:t xml:space="preserve"> 360T is a company founded in 2000 and it provides a range of FX trading solutions. T</w:t>
      </w:r>
      <w:r w:rsidR="00817D43" w:rsidRPr="00817D43">
        <w:t xml:space="preserve">oday 360T is uniquely positioned to help connect the global FX industry via proprietary suite of web-based technology solutions. </w:t>
      </w:r>
    </w:p>
    <w:p w14:paraId="19A2283B" w14:textId="53BF0355" w:rsidR="00AC3A14" w:rsidRDefault="00817D43" w:rsidP="00817D43">
      <w:pPr>
        <w:pStyle w:val="ListParagraph"/>
      </w:pPr>
      <w:r w:rsidRPr="00817D43">
        <w:t xml:space="preserve">As the Deutsche Börse Group’s global FX unit, </w:t>
      </w:r>
      <w:r>
        <w:t xml:space="preserve">360T </w:t>
      </w:r>
      <w:r w:rsidRPr="00817D43">
        <w:t>offer a full range of streamlined services across the entire trading workflow of FX and Short-Term Money Market products, enabling firms to transact in a more transparent and efficient manner, whilst also reducing operational and regulatory risk</w:t>
      </w:r>
      <w:r>
        <w:t>. It is the company that provides the requirements.</w:t>
      </w:r>
    </w:p>
    <w:p w14:paraId="2BDD2AE7" w14:textId="27832D39" w:rsidR="00AC3A14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Andrei Szabo</w:t>
      </w:r>
      <w:r>
        <w:t>:</w:t>
      </w:r>
      <w:r w:rsidR="00817D43">
        <w:t xml:space="preserve"> He’s a </w:t>
      </w:r>
      <w:r w:rsidR="00817D43" w:rsidRPr="00817D43">
        <w:t>Development Team Lead at 360</w:t>
      </w:r>
      <w:r w:rsidR="00817D43">
        <w:t>T. The stakeholder is the main interface between the provider of the service and 360T.</w:t>
      </w:r>
    </w:p>
    <w:p w14:paraId="56D55CCA" w14:textId="3F3C250D" w:rsidR="00614178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Rocco Caliandro</w:t>
      </w:r>
      <w:r w:rsidRPr="00817D43">
        <w:t>:</w:t>
      </w:r>
      <w:r w:rsidR="00817D43" w:rsidRPr="00817D43">
        <w:t xml:space="preserve"> Rocco is a Data Engineer that works for</w:t>
      </w:r>
      <w:r w:rsidR="00817D43">
        <w:t xml:space="preserve"> build the </w:t>
      </w:r>
      <w:r w:rsidR="00817D43" w:rsidRPr="00817D43">
        <w:t>ForeignExchangeRateDWH</w:t>
      </w:r>
      <w:r w:rsidR="00817D43">
        <w:t xml:space="preserve"> datawarehouse</w:t>
      </w:r>
    </w:p>
    <w:p w14:paraId="6BFBA6FE" w14:textId="2D443F3B" w:rsidR="00975A61" w:rsidRDefault="00975A61" w:rsidP="00975A61">
      <w:pPr>
        <w:pStyle w:val="Subtitle"/>
      </w:pPr>
      <w: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2"/>
        <w:gridCol w:w="2723"/>
        <w:gridCol w:w="1281"/>
        <w:gridCol w:w="3310"/>
      </w:tblGrid>
      <w:tr w:rsidR="00325164" w14:paraId="0EF54E51" w14:textId="77777777" w:rsidTr="0032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11A861" w14:textId="4E8D11FB" w:rsidR="00325164" w:rsidRPr="003E03B5" w:rsidRDefault="00325164" w:rsidP="00975A61">
            <w:pPr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REQUIREMENT ID</w:t>
            </w:r>
          </w:p>
        </w:tc>
        <w:tc>
          <w:tcPr>
            <w:tcW w:w="1973" w:type="dxa"/>
          </w:tcPr>
          <w:p w14:paraId="07757D97" w14:textId="101AFD1E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REQUREMENT NAME</w:t>
            </w:r>
          </w:p>
        </w:tc>
        <w:tc>
          <w:tcPr>
            <w:tcW w:w="1282" w:type="dxa"/>
          </w:tcPr>
          <w:p w14:paraId="0A67FB46" w14:textId="2CBDA101" w:rsidR="00325164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REQUIRED</w:t>
            </w:r>
          </w:p>
        </w:tc>
        <w:tc>
          <w:tcPr>
            <w:tcW w:w="4059" w:type="dxa"/>
          </w:tcPr>
          <w:p w14:paraId="415FB025" w14:textId="0FFD7B18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DESCRIPTION</w:t>
            </w:r>
          </w:p>
        </w:tc>
      </w:tr>
      <w:tr w:rsidR="00D00186" w14:paraId="3080A92A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CA28DA" w14:textId="015A0B9C" w:rsidR="00325164" w:rsidRDefault="00325164" w:rsidP="00975A61">
            <w:r>
              <w:t>REQ_001</w:t>
            </w:r>
          </w:p>
        </w:tc>
        <w:tc>
          <w:tcPr>
            <w:tcW w:w="1973" w:type="dxa"/>
          </w:tcPr>
          <w:p w14:paraId="2D8E3293" w14:textId="69C1D732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DisplayRate</w:t>
            </w:r>
          </w:p>
        </w:tc>
        <w:tc>
          <w:tcPr>
            <w:tcW w:w="1282" w:type="dxa"/>
          </w:tcPr>
          <w:p w14:paraId="18811B06" w14:textId="254E97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3370326" w14:textId="7D8896E2" w:rsidR="00325164" w:rsidRDefault="00325164" w:rsidP="00325164">
            <w:pPr>
              <w:tabs>
                <w:tab w:val="left" w:pos="10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for each currency pair the FX exchange rate</w:t>
            </w:r>
          </w:p>
        </w:tc>
      </w:tr>
      <w:tr w:rsidR="00325164" w14:paraId="5A92AB95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E67A5C" w14:textId="0A84CB97" w:rsidR="00325164" w:rsidRDefault="00325164" w:rsidP="00975A61">
            <w:r>
              <w:t>REQ_002</w:t>
            </w:r>
          </w:p>
        </w:tc>
        <w:tc>
          <w:tcPr>
            <w:tcW w:w="1973" w:type="dxa"/>
          </w:tcPr>
          <w:p w14:paraId="6EF10DE9" w14:textId="3B045F98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DisplayChangePercentage</w:t>
            </w:r>
          </w:p>
        </w:tc>
        <w:tc>
          <w:tcPr>
            <w:tcW w:w="1282" w:type="dxa"/>
          </w:tcPr>
          <w:p w14:paraId="2B2A57E4" w14:textId="197CD5B5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30AF9277" w14:textId="46598A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for each currency pair the percentage of the change compared to yesterday’s rate at 5PM New York Time</w:t>
            </w:r>
          </w:p>
        </w:tc>
      </w:tr>
      <w:tr w:rsidR="00D00186" w14:paraId="4CBC35F9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7CD507D" w14:textId="3C47413F" w:rsidR="00325164" w:rsidRDefault="00325164" w:rsidP="00975A61">
            <w:r>
              <w:t>REQ_003</w:t>
            </w:r>
          </w:p>
        </w:tc>
        <w:tc>
          <w:tcPr>
            <w:tcW w:w="1973" w:type="dxa"/>
          </w:tcPr>
          <w:p w14:paraId="2A95B1B0" w14:textId="36D85483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HighFrequency</w:t>
            </w:r>
          </w:p>
        </w:tc>
        <w:tc>
          <w:tcPr>
            <w:tcW w:w="1282" w:type="dxa"/>
          </w:tcPr>
          <w:p w14:paraId="0021F049" w14:textId="48DE0A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BCE8474" w14:textId="7B36ABC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Rates are received in high frequency, milliseconds</w:t>
            </w:r>
          </w:p>
        </w:tc>
      </w:tr>
      <w:tr w:rsidR="00325164" w14:paraId="188EFB6F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AA549EA" w14:textId="2C8FF3C2" w:rsidR="00325164" w:rsidRDefault="00325164" w:rsidP="00975A61">
            <w:r>
              <w:t>REQ_004</w:t>
            </w:r>
          </w:p>
        </w:tc>
        <w:tc>
          <w:tcPr>
            <w:tcW w:w="1973" w:type="dxa"/>
          </w:tcPr>
          <w:p w14:paraId="3211A0ED" w14:textId="6219BD11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OutputFormat</w:t>
            </w:r>
          </w:p>
        </w:tc>
        <w:tc>
          <w:tcPr>
            <w:tcW w:w="1282" w:type="dxa"/>
          </w:tcPr>
          <w:p w14:paraId="695774F1" w14:textId="40B5014A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5226967A" w14:textId="2005AF80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output must have the following format: </w:t>
            </w:r>
          </w:p>
          <w:p w14:paraId="1822CC10" w14:textId="7777777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164">
              <w:rPr>
                <w:noProof/>
              </w:rPr>
              <w:drawing>
                <wp:inline distT="0" distB="0" distL="0" distR="0" wp14:anchorId="3037E0FA" wp14:editId="4EB8BBB3">
                  <wp:extent cx="1852551" cy="352613"/>
                  <wp:effectExtent l="0" t="0" r="0" b="9525"/>
                  <wp:docPr id="445867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8670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98" cy="36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E4161" w14:textId="152A83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164" w14:paraId="796A3EC7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6A74310" w14:textId="7A19DDA0" w:rsidR="00325164" w:rsidRDefault="00325164" w:rsidP="00975A61">
            <w:r>
              <w:t>REQ_005</w:t>
            </w:r>
          </w:p>
        </w:tc>
        <w:tc>
          <w:tcPr>
            <w:tcW w:w="1973" w:type="dxa"/>
          </w:tcPr>
          <w:p w14:paraId="49C49467" w14:textId="20A71EF4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JobSchedule</w:t>
            </w:r>
          </w:p>
        </w:tc>
        <w:tc>
          <w:tcPr>
            <w:tcW w:w="1282" w:type="dxa"/>
          </w:tcPr>
          <w:p w14:paraId="157E1A39" w14:textId="3EBBA3F8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1C0B847" w14:textId="3196DEA0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a job which runs every 1 hour and have the possibility to change the schedule to run every 1 minute instead</w:t>
            </w:r>
          </w:p>
        </w:tc>
      </w:tr>
      <w:tr w:rsidR="00325164" w14:paraId="209E24DB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89379C" w14:textId="6A567162" w:rsidR="00325164" w:rsidRDefault="00325164" w:rsidP="00975A61">
            <w:r>
              <w:t>REQ_006</w:t>
            </w:r>
          </w:p>
        </w:tc>
        <w:tc>
          <w:tcPr>
            <w:tcW w:w="1973" w:type="dxa"/>
          </w:tcPr>
          <w:p w14:paraId="68273D87" w14:textId="4091BF47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ActiveRates</w:t>
            </w:r>
          </w:p>
        </w:tc>
        <w:tc>
          <w:tcPr>
            <w:tcW w:w="1282" w:type="dxa"/>
          </w:tcPr>
          <w:p w14:paraId="4470466D" w14:textId="0162E22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24A8A08" w14:textId="3EC8FF9E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job should consider only “</w:t>
            </w:r>
            <w:r w:rsidRPr="00325164">
              <w:rPr>
                <w:i/>
                <w:iCs/>
              </w:rPr>
              <w:t>active</w:t>
            </w:r>
            <w:r>
              <w:t>” rates. What “</w:t>
            </w:r>
            <w:r w:rsidR="00D00186" w:rsidRPr="00325164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means</w:t>
            </w:r>
            <w:r>
              <w:t xml:space="preserve"> will be specified in the business logic during the design phase </w:t>
            </w:r>
            <w:r w:rsidR="00D00186">
              <w:t xml:space="preserve">(for currency pairs that </w:t>
            </w:r>
            <w:r w:rsidR="00D00186">
              <w:lastRenderedPageBreak/>
              <w:t>don’t have an “</w:t>
            </w:r>
            <w:r w:rsidR="00D00186" w:rsidRPr="00D00186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rate, no output should be produced)</w:t>
            </w:r>
          </w:p>
        </w:tc>
      </w:tr>
      <w:tr w:rsidR="00325164" w14:paraId="188249F1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DF8B821" w14:textId="3B0617FD" w:rsidR="00325164" w:rsidRPr="00D00186" w:rsidRDefault="00D00186" w:rsidP="00975A61">
            <w:r>
              <w:lastRenderedPageBreak/>
              <w:t>REQ_007</w:t>
            </w:r>
          </w:p>
        </w:tc>
        <w:tc>
          <w:tcPr>
            <w:tcW w:w="1973" w:type="dxa"/>
          </w:tcPr>
          <w:p w14:paraId="79BCAA45" w14:textId="03795B5A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GenericSolution</w:t>
            </w:r>
          </w:p>
        </w:tc>
        <w:tc>
          <w:tcPr>
            <w:tcW w:w="1282" w:type="dxa"/>
          </w:tcPr>
          <w:p w14:paraId="55DD02A4" w14:textId="1DC1F13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1ABB24DF" w14:textId="3C04BD59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example file there are 5 currency pairs but the job should work also if we assume 300 currency couples (or even more)</w:t>
            </w:r>
          </w:p>
        </w:tc>
      </w:tr>
      <w:tr w:rsidR="00325164" w14:paraId="146BA502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B6F7782" w14:textId="73D3056C" w:rsidR="00325164" w:rsidRDefault="00325164" w:rsidP="00975A61">
            <w:r>
              <w:t>REQ_00</w:t>
            </w:r>
            <w:r w:rsidR="00D00186">
              <w:t>8</w:t>
            </w:r>
          </w:p>
        </w:tc>
        <w:tc>
          <w:tcPr>
            <w:tcW w:w="1973" w:type="dxa"/>
          </w:tcPr>
          <w:p w14:paraId="2E489F34" w14:textId="69BED4A5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RealTimeStreaming</w:t>
            </w:r>
          </w:p>
        </w:tc>
        <w:tc>
          <w:tcPr>
            <w:tcW w:w="1282" w:type="dxa"/>
          </w:tcPr>
          <w:p w14:paraId="3020D4AC" w14:textId="4538180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059" w:type="dxa"/>
          </w:tcPr>
          <w:p w14:paraId="331053CD" w14:textId="717C7788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It’s an optional requirement. </w:t>
            </w:r>
            <w:r w:rsidR="00D00186">
              <w:t>Instead of a batch, we would like to change the process into a streaming one and display data in real time</w:t>
            </w:r>
          </w:p>
        </w:tc>
      </w:tr>
    </w:tbl>
    <w:p w14:paraId="141E43BB" w14:textId="77777777" w:rsidR="00975A61" w:rsidRDefault="00975A61" w:rsidP="00975A61"/>
    <w:p w14:paraId="132143D3" w14:textId="69B627D2" w:rsidR="00157D0A" w:rsidRDefault="00157D0A" w:rsidP="00157D0A">
      <w:pPr>
        <w:pStyle w:val="Subtitle"/>
      </w:pPr>
      <w:r>
        <w:t>Dictionary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8"/>
        <w:gridCol w:w="2768"/>
        <w:gridCol w:w="5020"/>
      </w:tblGrid>
      <w:tr w:rsidR="00157D0A" w14:paraId="01433DAB" w14:textId="77777777" w:rsidTr="0015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2A6713" w14:textId="7C3AAB59" w:rsidR="00157D0A" w:rsidRDefault="00157D0A" w:rsidP="00157D0A">
            <w:r>
              <w:t>TERM_ID</w:t>
            </w:r>
          </w:p>
        </w:tc>
        <w:tc>
          <w:tcPr>
            <w:tcW w:w="1843" w:type="dxa"/>
          </w:tcPr>
          <w:p w14:paraId="19C1465B" w14:textId="0A869EE9" w:rsidR="00157D0A" w:rsidRDefault="00157D0A" w:rsidP="0015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</w:t>
            </w:r>
          </w:p>
        </w:tc>
        <w:tc>
          <w:tcPr>
            <w:tcW w:w="6044" w:type="dxa"/>
          </w:tcPr>
          <w:p w14:paraId="26B4CDAD" w14:textId="7812F396" w:rsidR="00157D0A" w:rsidRDefault="00157D0A" w:rsidP="0015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7D0A" w14:paraId="539DA29C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A1781B" w14:textId="6200C960" w:rsidR="00157D0A" w:rsidRDefault="00157D0A" w:rsidP="00157D0A">
            <w:r>
              <w:t>TERM_001</w:t>
            </w:r>
          </w:p>
        </w:tc>
        <w:tc>
          <w:tcPr>
            <w:tcW w:w="1843" w:type="dxa"/>
          </w:tcPr>
          <w:p w14:paraId="4C895304" w14:textId="0D7FF3FD" w:rsidR="00157D0A" w:rsidRDefault="00F957F5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7F5">
              <w:t>ForeignExchangeRateDWH</w:t>
            </w:r>
          </w:p>
        </w:tc>
        <w:tc>
          <w:tcPr>
            <w:tcW w:w="6044" w:type="dxa"/>
          </w:tcPr>
          <w:p w14:paraId="4B429010" w14:textId="1C748153" w:rsidR="00157D0A" w:rsidRDefault="00F957F5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chosen name of the Datawarehouse and the project name</w:t>
            </w:r>
          </w:p>
        </w:tc>
      </w:tr>
      <w:tr w:rsidR="00157D0A" w14:paraId="46179F65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740A9E" w14:textId="5C79BB34" w:rsidR="00157D0A" w:rsidRDefault="00157D0A" w:rsidP="00157D0A">
            <w:r>
              <w:t>TERM_002</w:t>
            </w:r>
          </w:p>
        </w:tc>
        <w:tc>
          <w:tcPr>
            <w:tcW w:w="1843" w:type="dxa"/>
          </w:tcPr>
          <w:p w14:paraId="3BC84855" w14:textId="74E01F7A" w:rsidR="00157D0A" w:rsidRDefault="00F957F5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6044" w:type="dxa"/>
          </w:tcPr>
          <w:p w14:paraId="0D8BC52A" w14:textId="01EE5E41" w:rsidR="00157D0A" w:rsidRDefault="00F957F5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Person, group or organization with a vested interest or stake, in the activities of the current project</w:t>
            </w:r>
          </w:p>
        </w:tc>
      </w:tr>
      <w:tr w:rsidR="00157D0A" w14:paraId="33351F4E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4AB5F1" w14:textId="448F6BAE" w:rsidR="00157D0A" w:rsidRDefault="00157D0A" w:rsidP="00157D0A">
            <w:r>
              <w:t>TERM_003</w:t>
            </w:r>
          </w:p>
        </w:tc>
        <w:tc>
          <w:tcPr>
            <w:tcW w:w="1843" w:type="dxa"/>
          </w:tcPr>
          <w:p w14:paraId="3432A6A2" w14:textId="7FA0E188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360T</w:t>
            </w:r>
          </w:p>
        </w:tc>
        <w:tc>
          <w:tcPr>
            <w:tcW w:w="6044" w:type="dxa"/>
          </w:tcPr>
          <w:p w14:paraId="162F64A7" w14:textId="0F4C00B7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founded in 2000 that provides a range of FX trading solutions. It is one of the stakeholders</w:t>
            </w:r>
          </w:p>
        </w:tc>
      </w:tr>
      <w:tr w:rsidR="00157D0A" w14:paraId="04566569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FEB580" w14:textId="10C934BD" w:rsidR="00157D0A" w:rsidRDefault="00157D0A" w:rsidP="00157D0A">
            <w:r>
              <w:t>TERM_004</w:t>
            </w:r>
          </w:p>
        </w:tc>
        <w:tc>
          <w:tcPr>
            <w:tcW w:w="1843" w:type="dxa"/>
          </w:tcPr>
          <w:p w14:paraId="2185B1E3" w14:textId="0ED0CBBC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FX</w:t>
            </w:r>
          </w:p>
        </w:tc>
        <w:tc>
          <w:tcPr>
            <w:tcW w:w="6044" w:type="dxa"/>
          </w:tcPr>
          <w:p w14:paraId="210628C2" w14:textId="641BA69A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 for Foreign Exchange</w:t>
            </w:r>
          </w:p>
        </w:tc>
      </w:tr>
      <w:tr w:rsidR="00157D0A" w14:paraId="174E7CDD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7D12D6" w14:textId="4EC03E85" w:rsidR="00157D0A" w:rsidRDefault="00157D0A" w:rsidP="00157D0A">
            <w:r>
              <w:t>TERM_005</w:t>
            </w:r>
          </w:p>
        </w:tc>
        <w:tc>
          <w:tcPr>
            <w:tcW w:w="1843" w:type="dxa"/>
          </w:tcPr>
          <w:p w14:paraId="36485D3B" w14:textId="16F624DF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Pair</w:t>
            </w:r>
          </w:p>
        </w:tc>
        <w:tc>
          <w:tcPr>
            <w:tcW w:w="6044" w:type="dxa"/>
          </w:tcPr>
          <w:p w14:paraId="112D70D6" w14:textId="7011A6E5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defines a pair of currencies using 3 letters for each currency (ISO Standard). For example, the pair USDEUR is composed by USD and EUR</w:t>
            </w:r>
          </w:p>
        </w:tc>
      </w:tr>
      <w:tr w:rsidR="00157D0A" w14:paraId="5FA1590D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8E9D3" w14:textId="3A829C32" w:rsidR="00157D0A" w:rsidRDefault="00157D0A" w:rsidP="00157D0A">
            <w:r>
              <w:t>TERM_006</w:t>
            </w:r>
          </w:p>
        </w:tc>
        <w:tc>
          <w:tcPr>
            <w:tcW w:w="1843" w:type="dxa"/>
          </w:tcPr>
          <w:p w14:paraId="0BCF1EB2" w14:textId="359AE013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</w:t>
            </w:r>
          </w:p>
        </w:tc>
        <w:tc>
          <w:tcPr>
            <w:tcW w:w="6044" w:type="dxa"/>
          </w:tcPr>
          <w:p w14:paraId="23D93A61" w14:textId="729820C6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Streaming means that data is continuously generated. Such data should be processed by using stream processing techniques. </w:t>
            </w:r>
            <w:r w:rsidRPr="007922C4">
              <w:t>It is usually used in the context of big data in which it is generated by many different sources at high speed</w:t>
            </w:r>
          </w:p>
        </w:tc>
      </w:tr>
      <w:tr w:rsidR="00157D0A" w14:paraId="06C54C06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E2424E" w14:textId="58EDCB19" w:rsidR="00157D0A" w:rsidRDefault="00157D0A" w:rsidP="00157D0A">
            <w:r>
              <w:t>TERM_007</w:t>
            </w:r>
          </w:p>
        </w:tc>
        <w:tc>
          <w:tcPr>
            <w:tcW w:w="1843" w:type="dxa"/>
          </w:tcPr>
          <w:p w14:paraId="42168A78" w14:textId="4370E888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RealTime</w:t>
            </w:r>
          </w:p>
        </w:tc>
        <w:tc>
          <w:tcPr>
            <w:tcW w:w="6044" w:type="dxa"/>
          </w:tcPr>
          <w:p w14:paraId="75CAF927" w14:textId="1C68D09B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Relating</w:t>
            </w:r>
            <w:r w:rsidRPr="007922C4">
              <w:t xml:space="preserve"> to a system in which input data is processed within milliseconds so that it is available virtually immediately as feedback to the process from which it is coming</w:t>
            </w:r>
          </w:p>
        </w:tc>
      </w:tr>
      <w:tr w:rsidR="001B6E83" w14:paraId="3E29F5C5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BE48E1" w14:textId="5472FE01" w:rsidR="001B6E83" w:rsidRDefault="001B6E83" w:rsidP="00157D0A">
            <w:r>
              <w:t>TERM_008</w:t>
            </w:r>
          </w:p>
        </w:tc>
        <w:tc>
          <w:tcPr>
            <w:tcW w:w="1843" w:type="dxa"/>
          </w:tcPr>
          <w:p w14:paraId="23FEBF46" w14:textId="10F4310A" w:rsidR="001B6E83" w:rsidRDefault="001B6E83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DWH</w:t>
            </w:r>
          </w:p>
        </w:tc>
        <w:tc>
          <w:tcPr>
            <w:tcW w:w="6044" w:type="dxa"/>
          </w:tcPr>
          <w:p w14:paraId="7EFCAA9B" w14:textId="65AD2D14" w:rsidR="001B6E83" w:rsidRDefault="001B6E83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the abbreviation of “Datawarehouse”</w:t>
            </w:r>
          </w:p>
        </w:tc>
      </w:tr>
      <w:tr w:rsidR="00E311CE" w14:paraId="531E5B70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B81564" w14:textId="35A4F42E" w:rsidR="00E311CE" w:rsidRDefault="00E311CE" w:rsidP="00157D0A">
            <w:r>
              <w:t>TERM_009</w:t>
            </w:r>
          </w:p>
        </w:tc>
        <w:tc>
          <w:tcPr>
            <w:tcW w:w="1843" w:type="dxa"/>
          </w:tcPr>
          <w:p w14:paraId="1C198196" w14:textId="0B798350" w:rsidR="00E311CE" w:rsidRDefault="00E311CE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Currency</w:t>
            </w:r>
          </w:p>
        </w:tc>
        <w:tc>
          <w:tcPr>
            <w:tcW w:w="6044" w:type="dxa"/>
          </w:tcPr>
          <w:p w14:paraId="198D0C52" w14:textId="0CB4AFAA" w:rsidR="00E311CE" w:rsidRDefault="00E311CE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 currency pair, for example EURUSD, the first three letters represent the so called “</w:t>
            </w:r>
            <w:r w:rsidRPr="00E311CE">
              <w:rPr>
                <w:i/>
                <w:iCs/>
              </w:rPr>
              <w:t>Base Currenc</w:t>
            </w:r>
            <w:r>
              <w:rPr>
                <w:i/>
                <w:iCs/>
              </w:rPr>
              <w:t>y</w:t>
            </w:r>
            <w:r>
              <w:t>”. In this case the Base Currency is EUR.</w:t>
            </w:r>
          </w:p>
        </w:tc>
      </w:tr>
      <w:tr w:rsidR="00E311CE" w14:paraId="130C62F6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BDF0FE" w14:textId="495F05F7" w:rsidR="00E311CE" w:rsidRDefault="00E311CE" w:rsidP="00157D0A">
            <w:r>
              <w:t>TERM_010</w:t>
            </w:r>
          </w:p>
        </w:tc>
        <w:tc>
          <w:tcPr>
            <w:tcW w:w="1843" w:type="dxa"/>
          </w:tcPr>
          <w:p w14:paraId="3DD2FD1E" w14:textId="66C8E582" w:rsidR="00E311CE" w:rsidRDefault="00E311CE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Quote Currency</w:t>
            </w:r>
          </w:p>
        </w:tc>
        <w:tc>
          <w:tcPr>
            <w:tcW w:w="6044" w:type="dxa"/>
          </w:tcPr>
          <w:p w14:paraId="62452E41" w14:textId="4166605C" w:rsidR="00E311CE" w:rsidRDefault="00E311CE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currency pair, for example EURUSD, the </w:t>
            </w:r>
            <w:r>
              <w:t>latest</w:t>
            </w:r>
            <w:r>
              <w:t xml:space="preserve"> three letters represent the so called “</w:t>
            </w:r>
            <w:r>
              <w:rPr>
                <w:i/>
                <w:iCs/>
              </w:rPr>
              <w:t>Quote</w:t>
            </w:r>
            <w:r w:rsidRPr="00E311CE">
              <w:rPr>
                <w:i/>
                <w:iCs/>
              </w:rPr>
              <w:t xml:space="preserve"> Currenc</w:t>
            </w:r>
            <w:r>
              <w:rPr>
                <w:i/>
                <w:iCs/>
              </w:rPr>
              <w:t>y</w:t>
            </w:r>
            <w:r>
              <w:t xml:space="preserve">”. In this case the </w:t>
            </w:r>
            <w:r>
              <w:t>Quote</w:t>
            </w:r>
            <w:r>
              <w:t xml:space="preserve"> Currency is </w:t>
            </w:r>
            <w:r>
              <w:t>USD</w:t>
            </w:r>
            <w:r>
              <w:t>.</w:t>
            </w:r>
          </w:p>
        </w:tc>
      </w:tr>
    </w:tbl>
    <w:p w14:paraId="241E3608" w14:textId="77777777" w:rsidR="00157D0A" w:rsidRPr="00157D0A" w:rsidRDefault="00157D0A" w:rsidP="00157D0A"/>
    <w:sectPr w:rsidR="00157D0A" w:rsidRPr="00157D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6AE9"/>
    <w:multiLevelType w:val="hybridMultilevel"/>
    <w:tmpl w:val="7D5C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B3EAD"/>
    <w:multiLevelType w:val="hybridMultilevel"/>
    <w:tmpl w:val="7FB6C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72">
    <w:abstractNumId w:val="1"/>
  </w:num>
  <w:num w:numId="2" w16cid:durableId="182558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A"/>
    <w:rsid w:val="00157D0A"/>
    <w:rsid w:val="001B6E83"/>
    <w:rsid w:val="00325164"/>
    <w:rsid w:val="003E03B5"/>
    <w:rsid w:val="00407465"/>
    <w:rsid w:val="0060209E"/>
    <w:rsid w:val="00614178"/>
    <w:rsid w:val="00760892"/>
    <w:rsid w:val="007922C4"/>
    <w:rsid w:val="00817D43"/>
    <w:rsid w:val="00882B2D"/>
    <w:rsid w:val="00975A61"/>
    <w:rsid w:val="00AC3A14"/>
    <w:rsid w:val="00AE521E"/>
    <w:rsid w:val="00B50AFA"/>
    <w:rsid w:val="00D00186"/>
    <w:rsid w:val="00DC13BE"/>
    <w:rsid w:val="00E311CE"/>
    <w:rsid w:val="00E85ABA"/>
    <w:rsid w:val="00F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3066"/>
  <w15:chartTrackingRefBased/>
  <w15:docId w15:val="{3047D601-DEAD-4887-843C-19FD85D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03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15</cp:revision>
  <cp:lastPrinted>2024-04-07T06:14:00Z</cp:lastPrinted>
  <dcterms:created xsi:type="dcterms:W3CDTF">2024-04-06T18:43:00Z</dcterms:created>
  <dcterms:modified xsi:type="dcterms:W3CDTF">2024-04-07T08:38:00Z</dcterms:modified>
</cp:coreProperties>
</file>